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0490" w:type="dxa"/>
        <w:tblInd w:w="-1276" w:type="dxa"/>
        <w:tblBorders>
          <w:top w:val="nil"/>
          <w:left w:val="nil"/>
          <w:bottom w:val="nil"/>
          <w:right w:val="nil"/>
          <w:insideH w:val="nil"/>
          <w:insideV w:val="nil"/>
        </w:tblBorders>
        <w:tblLook w:val="04A0" w:firstRow="1" w:lastRow="0" w:firstColumn="1" w:lastColumn="0" w:noHBand="0" w:noVBand="1"/>
      </w:tblPr>
      <w:tblGrid>
        <w:gridCol w:w="4678"/>
        <w:gridCol w:w="2835"/>
        <w:gridCol w:w="2977"/>
      </w:tblGrid>
      <w:tr w:rsidR="00877C9D" w14:paraId="67E22FD5" w14:textId="77777777" w:rsidTr="00DC5734">
        <w:trPr>
          <w:trHeight w:val="1556"/>
        </w:trPr>
        <w:tc>
          <w:tcPr>
            <w:tcW w:w="4678" w:type="dxa"/>
          </w:tcPr>
          <w:p w14:paraId="1370C3AB" w14:textId="77777777" w:rsidR="00492DE9" w:rsidRDefault="00D55393" w:rsidP="000879F3">
            <w:pPr>
              <w:tabs>
                <w:tab w:val="right" w:pos="8931"/>
              </w:tabs>
            </w:pPr>
            <w:r>
              <w:rPr>
                <w:b/>
                <w:noProof/>
                <w:color w:val="007FAE"/>
                <w:sz w:val="34"/>
                <w:szCs w:val="34"/>
              </w:rPr>
              <w:drawing>
                <wp:inline distT="0" distB="0" distL="0" distR="0" wp14:anchorId="5C4B1C83" wp14:editId="4891C0AE">
                  <wp:extent cx="2336400" cy="1159200"/>
                  <wp:effectExtent l="0" t="0" r="0" b="3175"/>
                  <wp:docPr id="1647815487" name="Afbeelding 1" descr="Logo van de Autoriteit Consument en Markt (ACM), Markten goed laten werken voor mensen en bedrij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an de Autoriteit Consument en Markt (ACM), Markten goed laten werken voor mensen en bedrijven."/>
                          <pic:cNvPicPr/>
                        </pic:nvPicPr>
                        <pic:blipFill rotWithShape="1">
                          <a:blip r:embed="rId8" cstate="print">
                            <a:extLst>
                              <a:ext uri="{28A0092B-C50C-407E-A947-70E740481C1C}">
                                <a14:useLocalDpi xmlns:a14="http://schemas.microsoft.com/office/drawing/2010/main" val="0"/>
                              </a:ext>
                            </a:extLst>
                          </a:blip>
                          <a:srcRect l="12712" t="21688" b="8761"/>
                          <a:stretch/>
                        </pic:blipFill>
                        <pic:spPr bwMode="auto">
                          <a:xfrm>
                            <a:off x="0" y="0"/>
                            <a:ext cx="2336400" cy="1159200"/>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tcPr>
          <w:p w14:paraId="680F4139" w14:textId="77777777" w:rsidR="00492DE9" w:rsidRPr="00331E70" w:rsidRDefault="00492DE9" w:rsidP="000879F3">
            <w:pPr>
              <w:tabs>
                <w:tab w:val="right" w:pos="2552"/>
                <w:tab w:val="left" w:pos="2835"/>
              </w:tabs>
              <w:spacing w:line="312" w:lineRule="auto"/>
            </w:pPr>
          </w:p>
          <w:p w14:paraId="2C461A33" w14:textId="77777777" w:rsidR="00492DE9" w:rsidRPr="00461946" w:rsidRDefault="00D55393" w:rsidP="00461946">
            <w:pPr>
              <w:rPr>
                <w:b/>
                <w:bCs/>
                <w:color w:val="007FAE"/>
              </w:rPr>
            </w:pPr>
            <w:r w:rsidRPr="00461946">
              <w:rPr>
                <w:color w:val="007FAE"/>
              </w:rPr>
              <w:t>Muzenstraat 41</w:t>
            </w:r>
          </w:p>
          <w:p w14:paraId="1867DEFC" w14:textId="77777777" w:rsidR="00492DE9" w:rsidRPr="00461946" w:rsidRDefault="00D55393" w:rsidP="00461946">
            <w:pPr>
              <w:rPr>
                <w:b/>
                <w:bCs/>
                <w:color w:val="007FAE"/>
              </w:rPr>
            </w:pPr>
            <w:r w:rsidRPr="00461946">
              <w:rPr>
                <w:color w:val="007FAE"/>
              </w:rPr>
              <w:t>2511 WB Den Haag</w:t>
            </w:r>
          </w:p>
          <w:p w14:paraId="63E235D2" w14:textId="77777777" w:rsidR="00492DE9" w:rsidRPr="00461946" w:rsidRDefault="00D55393" w:rsidP="00461946">
            <w:pPr>
              <w:rPr>
                <w:b/>
                <w:bCs/>
                <w:color w:val="007FAE"/>
              </w:rPr>
            </w:pPr>
            <w:r w:rsidRPr="00461946">
              <w:rPr>
                <w:color w:val="007FAE"/>
              </w:rPr>
              <w:t>070 722 20 00</w:t>
            </w:r>
          </w:p>
          <w:p w14:paraId="7837B60B" w14:textId="7527DA3B" w:rsidR="00492DE9" w:rsidRPr="003B7C2E" w:rsidRDefault="00B5193C" w:rsidP="00461946">
            <w:pPr>
              <w:rPr>
                <w:b/>
                <w:bCs/>
              </w:rPr>
            </w:pPr>
            <w:hyperlink r:id="rId9" w:history="1">
              <w:r w:rsidR="00D55393" w:rsidRPr="003B7C2E">
                <w:rPr>
                  <w:rStyle w:val="Hyperlink"/>
                  <w:color w:val="007FAE" w:themeColor="accent4"/>
                  <w:szCs w:val="19"/>
                </w:rPr>
                <w:t>www.acm.nl</w:t>
              </w:r>
            </w:hyperlink>
          </w:p>
        </w:tc>
        <w:tc>
          <w:tcPr>
            <w:tcW w:w="2977" w:type="dxa"/>
          </w:tcPr>
          <w:p w14:paraId="0C4FAE66" w14:textId="5178AC69" w:rsidR="00492DE9" w:rsidRPr="00DC5734" w:rsidRDefault="00492DE9" w:rsidP="000879F3">
            <w:pPr>
              <w:tabs>
                <w:tab w:val="right" w:pos="8931"/>
              </w:tabs>
              <w:jc w:val="right"/>
              <w:rPr>
                <w:b/>
                <w:bCs/>
                <w:color w:val="007FAE"/>
                <w:sz w:val="34"/>
                <w:szCs w:val="34"/>
              </w:rPr>
            </w:pPr>
          </w:p>
        </w:tc>
      </w:tr>
    </w:tbl>
    <w:p w14:paraId="6B51E1BB" w14:textId="77777777" w:rsidR="00492DE9" w:rsidRDefault="00492DE9" w:rsidP="00792540"/>
    <w:p w14:paraId="3F4DBD97" w14:textId="77777777" w:rsidR="00492DE9" w:rsidRPr="00E811D2" w:rsidRDefault="00D55393" w:rsidP="00B5193C">
      <w:pPr>
        <w:pStyle w:val="Titel"/>
      </w:pPr>
      <w:r w:rsidRPr="00B5193C">
        <w:rPr>
          <w:color w:val="E5007D" w:themeColor="text2"/>
          <w:sz w:val="36"/>
          <w:szCs w:val="36"/>
        </w:rPr>
        <w:t>Besluit</w:t>
      </w:r>
    </w:p>
    <w:p w14:paraId="1A2D9670" w14:textId="6662720A" w:rsidR="00935842" w:rsidRPr="00D9177A" w:rsidRDefault="00935842" w:rsidP="00D9177A">
      <w:pPr>
        <w:spacing w:after="240"/>
        <w:rPr>
          <w:b/>
        </w:rPr>
      </w:pPr>
      <w:r>
        <w:rPr>
          <w:b/>
        </w:rPr>
        <w:t>Besluit tot vaststelling van het meettarief voor kleinverbruikers van elektriciteit 202</w:t>
      </w:r>
      <w:r w:rsidR="00157B2E">
        <w:rPr>
          <w:b/>
        </w:rPr>
        <w:t>5</w:t>
      </w:r>
    </w:p>
    <w:p w14:paraId="7BD40072" w14:textId="5343AD76" w:rsidR="00935842" w:rsidRPr="00D9177A" w:rsidRDefault="00935842" w:rsidP="00D9177A">
      <w:pPr>
        <w:spacing w:after="240"/>
        <w:rPr>
          <w:bCs/>
        </w:rPr>
      </w:pPr>
      <w:r w:rsidRPr="00217723">
        <w:rPr>
          <w:bCs/>
        </w:rPr>
        <w:t>Besluit van de Autoriteit Consument en Markt als bedoeld in artikel 40a van de Elektriciteitswet 1998.</w:t>
      </w:r>
    </w:p>
    <w:p w14:paraId="58B8DE51" w14:textId="7C57FBC7" w:rsidR="00492DE9" w:rsidRPr="008331E1" w:rsidRDefault="00D55393" w:rsidP="00C74BEC">
      <w:pPr>
        <w:tabs>
          <w:tab w:val="left" w:pos="1701"/>
        </w:tabs>
      </w:pPr>
      <w:r>
        <w:t>Ons kenmerk</w:t>
      </w:r>
      <w:r>
        <w:tab/>
      </w:r>
      <w:r w:rsidRPr="008331E1">
        <w:t xml:space="preserve">: </w:t>
      </w:r>
      <w:r w:rsidR="00523914">
        <w:t>ACM/UIT/630381</w:t>
      </w:r>
    </w:p>
    <w:p w14:paraId="47359E2B" w14:textId="0128ECFE" w:rsidR="00492DE9" w:rsidRDefault="00D55393" w:rsidP="005C519B">
      <w:pPr>
        <w:tabs>
          <w:tab w:val="left" w:pos="1701"/>
        </w:tabs>
      </w:pPr>
      <w:r>
        <w:t>Zaaknummer</w:t>
      </w:r>
      <w:r>
        <w:tab/>
        <w:t xml:space="preserve">: </w:t>
      </w:r>
      <w:r w:rsidR="00A95AD8" w:rsidRPr="00523914">
        <w:t>ACM/23/18</w:t>
      </w:r>
      <w:r w:rsidR="00492DE9" w:rsidRPr="00523914">
        <w:t>7180</w:t>
      </w:r>
    </w:p>
    <w:p w14:paraId="6F01C22B" w14:textId="01B4014E" w:rsidR="00492DE9" w:rsidRPr="0031172D" w:rsidRDefault="00D55393" w:rsidP="00283812">
      <w:pPr>
        <w:tabs>
          <w:tab w:val="left" w:pos="1701"/>
        </w:tabs>
      </w:pPr>
      <w:r>
        <w:t>Datum</w:t>
      </w:r>
      <w:r>
        <w:tab/>
      </w:r>
      <w:r w:rsidRPr="0049575D">
        <w:t xml:space="preserve">: </w:t>
      </w:r>
      <w:r w:rsidR="00523914" w:rsidRPr="0049575D">
        <w:t>22 november 2024</w:t>
      </w:r>
    </w:p>
    <w:p w14:paraId="08D49698" w14:textId="0056F215" w:rsidR="00492DE9" w:rsidRDefault="00492DE9" w:rsidP="00700598"/>
    <w:p w14:paraId="2291B40C" w14:textId="34C42D3A" w:rsidR="00935842" w:rsidRDefault="00935842">
      <w:r>
        <w:br w:type="page"/>
      </w:r>
    </w:p>
    <w:p w14:paraId="382F4192" w14:textId="61B5A8A6" w:rsidR="00935842" w:rsidRPr="001B64BC" w:rsidRDefault="00935842" w:rsidP="00175700">
      <w:pPr>
        <w:pStyle w:val="Kop1"/>
      </w:pPr>
      <w:bookmarkStart w:id="0" w:name="_Toc240948736"/>
      <w:bookmarkStart w:id="1" w:name="_Toc176590962"/>
      <w:r>
        <w:lastRenderedPageBreak/>
        <w:t>Inleiding</w:t>
      </w:r>
      <w:bookmarkEnd w:id="0"/>
      <w:bookmarkEnd w:id="1"/>
      <w:r>
        <w:t xml:space="preserve"> </w:t>
      </w:r>
    </w:p>
    <w:p w14:paraId="1AAAC501" w14:textId="5E126D67" w:rsidR="00935842" w:rsidRPr="00871256" w:rsidRDefault="00935842" w:rsidP="00871256">
      <w:pPr>
        <w:numPr>
          <w:ilvl w:val="0"/>
          <w:numId w:val="19"/>
        </w:numPr>
        <w:spacing w:after="240" w:line="300" w:lineRule="exact"/>
        <w:rPr>
          <w:rFonts w:cs="Arial"/>
          <w:szCs w:val="19"/>
        </w:rPr>
      </w:pPr>
      <w:r w:rsidRPr="008A6162">
        <w:rPr>
          <w:rFonts w:cs="Arial"/>
          <w:szCs w:val="19"/>
        </w:rPr>
        <w:t xml:space="preserve">Met dit besluit geeft </w:t>
      </w:r>
      <w:r>
        <w:rPr>
          <w:rFonts w:cs="Arial"/>
          <w:szCs w:val="19"/>
        </w:rPr>
        <w:t>de ACM</w:t>
      </w:r>
      <w:r w:rsidRPr="008A6162">
        <w:rPr>
          <w:rFonts w:cs="Arial"/>
          <w:szCs w:val="19"/>
        </w:rPr>
        <w:t xml:space="preserve"> uitvoering aan artikel 40a van de Elektriciteitswet 1998. Op grond van deze bepaling stelt </w:t>
      </w:r>
      <w:r>
        <w:rPr>
          <w:rFonts w:cs="Arial"/>
          <w:szCs w:val="19"/>
        </w:rPr>
        <w:t>de ACM</w:t>
      </w:r>
      <w:r w:rsidRPr="008A6162">
        <w:rPr>
          <w:rFonts w:cs="Arial"/>
          <w:szCs w:val="19"/>
        </w:rPr>
        <w:t xml:space="preserve"> </w:t>
      </w:r>
      <w:r w:rsidRPr="00A44BDB">
        <w:rPr>
          <w:rFonts w:cs="Arial"/>
          <w:szCs w:val="19"/>
        </w:rPr>
        <w:t>na overleg met de gezamenlijke netbeheerders en met representatieve organisaties van partijen op de elektriciteitsmarkt de maximumtarieven</w:t>
      </w:r>
      <w:r w:rsidRPr="008A6162">
        <w:rPr>
          <w:rFonts w:cs="Arial"/>
          <w:szCs w:val="19"/>
        </w:rPr>
        <w:t xml:space="preserve"> vast voor de meting van elektriciteit, als bedoeld in artikel 30a van de Elektriciteitswet 1998 (hierna: meettarieven), bij afnemers als bedoeld in artikel 95a, eerste lid van de Elektriciteitswet 1998 (hierna: kleinverbruikers van elektriciteit). </w:t>
      </w:r>
    </w:p>
    <w:p w14:paraId="24546D17" w14:textId="79D43B67" w:rsidR="00935842" w:rsidRPr="008A6162" w:rsidRDefault="00935842" w:rsidP="00871256">
      <w:pPr>
        <w:numPr>
          <w:ilvl w:val="0"/>
          <w:numId w:val="19"/>
        </w:numPr>
        <w:spacing w:after="240" w:line="300" w:lineRule="exact"/>
        <w:rPr>
          <w:rFonts w:cs="Arial"/>
          <w:szCs w:val="19"/>
        </w:rPr>
      </w:pPr>
      <w:r w:rsidRPr="008A6162">
        <w:rPr>
          <w:rFonts w:cs="Arial"/>
          <w:szCs w:val="19"/>
        </w:rPr>
        <w:t xml:space="preserve">Artikel 40a van de Elektriciteitswet 1998 bepaalt dat bij ministeriële regeling nadere regels kunnen worden gesteld met betrekking tot de procedure tot vaststelling van de tarieven voor het meten van elektriciteit bij kleinverbruikers en de wijze van berekening van deze tarieven. In dit kader heeft de Minister van Economische Zaken, Landbouw en Innovatie (hierna: de Minister) bij besluit van </w:t>
      </w:r>
      <w:r w:rsidRPr="00B92C69">
        <w:rPr>
          <w:rFonts w:cs="Arial"/>
          <w:szCs w:val="19"/>
        </w:rPr>
        <w:t>16 november 2010 de</w:t>
      </w:r>
      <w:r w:rsidRPr="008A6162">
        <w:rPr>
          <w:rFonts w:cs="Arial"/>
          <w:szCs w:val="19"/>
        </w:rPr>
        <w:t xml:space="preserve"> ‘Regeling meettarieven’</w:t>
      </w:r>
      <w:r w:rsidRPr="008A6162">
        <w:rPr>
          <w:szCs w:val="19"/>
          <w:vertAlign w:val="superscript"/>
        </w:rPr>
        <w:footnoteReference w:id="1"/>
      </w:r>
      <w:r w:rsidRPr="008A6162">
        <w:rPr>
          <w:rFonts w:cs="Arial"/>
          <w:szCs w:val="19"/>
        </w:rPr>
        <w:t xml:space="preserve"> vastgesteld.</w:t>
      </w:r>
    </w:p>
    <w:p w14:paraId="0571AFE3" w14:textId="562E11E0" w:rsidR="00935842" w:rsidRPr="00871256" w:rsidRDefault="00935842" w:rsidP="00871256">
      <w:pPr>
        <w:numPr>
          <w:ilvl w:val="0"/>
          <w:numId w:val="19"/>
        </w:numPr>
        <w:spacing w:after="240" w:line="300" w:lineRule="exact"/>
        <w:rPr>
          <w:rFonts w:cs="Arial"/>
          <w:szCs w:val="19"/>
        </w:rPr>
      </w:pPr>
      <w:r w:rsidRPr="005E0E7E">
        <w:rPr>
          <w:rFonts w:cs="Arial"/>
          <w:szCs w:val="19"/>
        </w:rPr>
        <w:t xml:space="preserve">In het kader van een zorgvuldige voorbereiding </w:t>
      </w:r>
      <w:r w:rsidRPr="00730E81">
        <w:rPr>
          <w:rFonts w:cs="Arial"/>
          <w:szCs w:val="19"/>
        </w:rPr>
        <w:t xml:space="preserve">van dit besluit heeft de ACM </w:t>
      </w:r>
      <w:r w:rsidR="00365D6B" w:rsidRPr="00EF234E">
        <w:rPr>
          <w:rFonts w:cs="Arial"/>
          <w:szCs w:val="19"/>
        </w:rPr>
        <w:t xml:space="preserve">de gezamenlijke netbeheerders en representatieve </w:t>
      </w:r>
      <w:r w:rsidR="006D30E1" w:rsidRPr="00EF234E">
        <w:rPr>
          <w:rFonts w:cs="Arial"/>
          <w:szCs w:val="19"/>
        </w:rPr>
        <w:t>organisaties</w:t>
      </w:r>
      <w:r w:rsidR="00365D6B" w:rsidRPr="00EF234E">
        <w:rPr>
          <w:rFonts w:cs="Arial"/>
          <w:szCs w:val="19"/>
        </w:rPr>
        <w:t xml:space="preserve"> van partijen op de elektriciteitsmarkt</w:t>
      </w:r>
      <w:r w:rsidR="00F733CE" w:rsidRPr="00EF234E">
        <w:rPr>
          <w:rFonts w:cs="Arial"/>
          <w:szCs w:val="19"/>
        </w:rPr>
        <w:t xml:space="preserve"> op </w:t>
      </w:r>
      <w:r w:rsidR="00867CBA">
        <w:rPr>
          <w:rFonts w:cs="Arial"/>
          <w:szCs w:val="19"/>
        </w:rPr>
        <w:t xml:space="preserve">9 </w:t>
      </w:r>
      <w:r w:rsidR="002D5B76" w:rsidRPr="00EF234E">
        <w:rPr>
          <w:rFonts w:cs="Arial"/>
          <w:szCs w:val="19"/>
        </w:rPr>
        <w:t xml:space="preserve">en </w:t>
      </w:r>
      <w:r w:rsidR="00867CBA">
        <w:rPr>
          <w:rFonts w:cs="Arial"/>
          <w:szCs w:val="19"/>
        </w:rPr>
        <w:t>10</w:t>
      </w:r>
      <w:r w:rsidR="002D5B76" w:rsidRPr="00EF234E">
        <w:rPr>
          <w:rFonts w:cs="Arial"/>
          <w:szCs w:val="19"/>
        </w:rPr>
        <w:t xml:space="preserve"> </w:t>
      </w:r>
      <w:r w:rsidR="00397A7A" w:rsidRPr="00EF234E">
        <w:rPr>
          <w:rFonts w:cs="Arial"/>
          <w:szCs w:val="19"/>
        </w:rPr>
        <w:t>oktober 202</w:t>
      </w:r>
      <w:r w:rsidR="003E0F23" w:rsidRPr="00EF234E">
        <w:rPr>
          <w:rFonts w:cs="Arial"/>
          <w:szCs w:val="19"/>
        </w:rPr>
        <w:t>4</w:t>
      </w:r>
      <w:r w:rsidR="007E2D03" w:rsidRPr="00EF234E">
        <w:rPr>
          <w:rFonts w:cs="Arial"/>
          <w:szCs w:val="19"/>
        </w:rPr>
        <w:t xml:space="preserve"> </w:t>
      </w:r>
      <w:r w:rsidRPr="00EF234E">
        <w:rPr>
          <w:rFonts w:cs="Arial"/>
          <w:szCs w:val="19"/>
        </w:rPr>
        <w:t>verzocht aan te geven of zij overleg wensen over de vaststelling van de meettarieven elektriciteit.</w:t>
      </w:r>
      <w:r w:rsidRPr="00730E81">
        <w:rPr>
          <w:rFonts w:cs="Arial"/>
          <w:szCs w:val="19"/>
        </w:rPr>
        <w:t xml:space="preserve"> </w:t>
      </w:r>
      <w:r w:rsidRPr="005F5C42">
        <w:rPr>
          <w:rFonts w:cs="Arial"/>
          <w:szCs w:val="19"/>
        </w:rPr>
        <w:t>Geen van de partijen heeft aangegeven een dergelijk overleg te wensen.</w:t>
      </w:r>
      <w:r w:rsidRPr="00730E81">
        <w:rPr>
          <w:rFonts w:cs="Arial"/>
          <w:szCs w:val="19"/>
        </w:rPr>
        <w:t xml:space="preserve"> </w:t>
      </w:r>
    </w:p>
    <w:p w14:paraId="7575464B" w14:textId="0BD1DD3B" w:rsidR="00B465F0" w:rsidRDefault="00935842" w:rsidP="00871256">
      <w:pPr>
        <w:numPr>
          <w:ilvl w:val="0"/>
          <w:numId w:val="19"/>
        </w:numPr>
        <w:spacing w:after="240" w:line="300" w:lineRule="exact"/>
        <w:rPr>
          <w:rFonts w:cs="Arial"/>
          <w:szCs w:val="19"/>
        </w:rPr>
      </w:pPr>
      <w:r>
        <w:rPr>
          <w:rFonts w:cs="Arial"/>
          <w:szCs w:val="19"/>
        </w:rPr>
        <w:t>De ACM</w:t>
      </w:r>
      <w:r w:rsidRPr="008A6162">
        <w:rPr>
          <w:rFonts w:cs="Arial"/>
          <w:szCs w:val="19"/>
        </w:rPr>
        <w:t xml:space="preserve"> stelt </w:t>
      </w:r>
      <w:r>
        <w:rPr>
          <w:rFonts w:cs="Arial"/>
          <w:szCs w:val="19"/>
        </w:rPr>
        <w:t>in dit besluit de meettarieven</w:t>
      </w:r>
      <w:r w:rsidRPr="008A6162">
        <w:rPr>
          <w:rFonts w:cs="Arial"/>
          <w:szCs w:val="19"/>
        </w:rPr>
        <w:t xml:space="preserve"> voor kleinverbruikers van elektriciteit voor het jaar </w:t>
      </w:r>
      <w:r>
        <w:rPr>
          <w:rFonts w:cs="Arial"/>
          <w:szCs w:val="19"/>
        </w:rPr>
        <w:t>202</w:t>
      </w:r>
      <w:r w:rsidR="00157B2E">
        <w:rPr>
          <w:rFonts w:cs="Arial"/>
          <w:szCs w:val="19"/>
        </w:rPr>
        <w:t>5</w:t>
      </w:r>
      <w:r w:rsidRPr="008A6162">
        <w:rPr>
          <w:rFonts w:cs="Arial"/>
          <w:szCs w:val="19"/>
        </w:rPr>
        <w:t xml:space="preserve"> vast.</w:t>
      </w:r>
    </w:p>
    <w:p w14:paraId="08CD89CB" w14:textId="02E10B63" w:rsidR="0088310C" w:rsidRPr="004E621E" w:rsidRDefault="0088310C">
      <w:pPr>
        <w:rPr>
          <w:rFonts w:cs="Arial"/>
          <w:szCs w:val="19"/>
        </w:rPr>
      </w:pPr>
    </w:p>
    <w:p w14:paraId="4B04CD0C" w14:textId="77777777" w:rsidR="00A37643" w:rsidRDefault="00A37643">
      <w:pPr>
        <w:rPr>
          <w:b/>
          <w:bCs/>
          <w:color w:val="007FAE"/>
          <w:sz w:val="30"/>
          <w:szCs w:val="30"/>
        </w:rPr>
      </w:pPr>
      <w:r>
        <w:br w:type="page"/>
      </w:r>
    </w:p>
    <w:p w14:paraId="502BEFE9" w14:textId="31956307" w:rsidR="0088310C" w:rsidRDefault="0088310C" w:rsidP="00175700">
      <w:pPr>
        <w:pStyle w:val="Kop1"/>
      </w:pPr>
      <w:r>
        <w:lastRenderedPageBreak/>
        <w:t>Achtergrond</w:t>
      </w:r>
    </w:p>
    <w:p w14:paraId="46385992" w14:textId="77777777" w:rsidR="0088310C" w:rsidRPr="001B64BC" w:rsidRDefault="0088310C" w:rsidP="0088310C">
      <w:pPr>
        <w:numPr>
          <w:ilvl w:val="0"/>
          <w:numId w:val="19"/>
        </w:numPr>
        <w:spacing w:line="300" w:lineRule="exact"/>
        <w:rPr>
          <w:rFonts w:cs="Arial"/>
          <w:szCs w:val="19"/>
        </w:rPr>
      </w:pPr>
      <w:r w:rsidRPr="008A6162">
        <w:rPr>
          <w:rFonts w:cs="Arial"/>
          <w:szCs w:val="19"/>
        </w:rPr>
        <w:t xml:space="preserve">In dit hoofdstuk beschrijft </w:t>
      </w:r>
      <w:r>
        <w:rPr>
          <w:rFonts w:cs="Arial"/>
          <w:szCs w:val="19"/>
        </w:rPr>
        <w:t>de ACM</w:t>
      </w:r>
      <w:r w:rsidRPr="008A6162">
        <w:rPr>
          <w:rFonts w:cs="Arial"/>
          <w:szCs w:val="19"/>
        </w:rPr>
        <w:t xml:space="preserve"> de achtergrond van dit besluit, onder meer aan de hand van de toelichting van de Minister op de Regeling meettarieven. </w:t>
      </w:r>
    </w:p>
    <w:p w14:paraId="7AD11857" w14:textId="74208B2C" w:rsidR="0088310C" w:rsidRPr="00175700" w:rsidRDefault="00BB479A" w:rsidP="00175700">
      <w:pPr>
        <w:pStyle w:val="Kop2"/>
      </w:pPr>
      <w:bookmarkStart w:id="2" w:name="_Toc240948740"/>
      <w:bookmarkStart w:id="3" w:name="_Toc176590966"/>
      <w:r>
        <w:tab/>
      </w:r>
      <w:r w:rsidR="0088310C" w:rsidRPr="00175700">
        <w:t>Doelstelling</w:t>
      </w:r>
    </w:p>
    <w:p w14:paraId="07A6DF42" w14:textId="59203F1A" w:rsidR="0088310C" w:rsidRPr="00871256" w:rsidRDefault="0088310C" w:rsidP="00871256">
      <w:pPr>
        <w:numPr>
          <w:ilvl w:val="0"/>
          <w:numId w:val="19"/>
        </w:numPr>
        <w:spacing w:after="240" w:line="300" w:lineRule="exact"/>
        <w:rPr>
          <w:rFonts w:cs="Arial"/>
          <w:szCs w:val="19"/>
        </w:rPr>
      </w:pPr>
      <w:r w:rsidRPr="008A6162">
        <w:rPr>
          <w:rFonts w:cs="Arial"/>
          <w:szCs w:val="19"/>
        </w:rPr>
        <w:t xml:space="preserve">De Regeling meettarieven kent een aantal voorlopers. </w:t>
      </w:r>
      <w:r>
        <w:rPr>
          <w:rFonts w:cs="Arial"/>
          <w:szCs w:val="19"/>
        </w:rPr>
        <w:t>Voor</w:t>
      </w:r>
      <w:r w:rsidRPr="008A6162">
        <w:rPr>
          <w:rFonts w:cs="Arial"/>
          <w:szCs w:val="19"/>
        </w:rPr>
        <w:t xml:space="preserve"> 2008</w:t>
      </w:r>
      <w:r w:rsidRPr="008A6162">
        <w:rPr>
          <w:szCs w:val="19"/>
          <w:vertAlign w:val="superscript"/>
        </w:rPr>
        <w:footnoteReference w:id="2"/>
      </w:r>
      <w:r w:rsidRPr="008A6162">
        <w:rPr>
          <w:rFonts w:cs="Arial"/>
          <w:szCs w:val="19"/>
        </w:rPr>
        <w:t xml:space="preserve"> is de eerste regeling vastgesteld, gevolgd door regelingen voor 2009</w:t>
      </w:r>
      <w:r w:rsidRPr="008A6162">
        <w:rPr>
          <w:szCs w:val="19"/>
          <w:vertAlign w:val="superscript"/>
        </w:rPr>
        <w:footnoteReference w:id="3"/>
      </w:r>
      <w:r w:rsidRPr="008A6162">
        <w:rPr>
          <w:rFonts w:cs="Arial"/>
          <w:szCs w:val="19"/>
        </w:rPr>
        <w:t xml:space="preserve"> en 2010</w:t>
      </w:r>
      <w:r w:rsidRPr="008A6162">
        <w:rPr>
          <w:szCs w:val="19"/>
          <w:vertAlign w:val="superscript"/>
        </w:rPr>
        <w:footnoteReference w:id="4"/>
      </w:r>
      <w:r w:rsidRPr="008A6162">
        <w:rPr>
          <w:rFonts w:cs="Arial"/>
          <w:szCs w:val="19"/>
        </w:rPr>
        <w:t>.</w:t>
      </w:r>
    </w:p>
    <w:p w14:paraId="624B46FA" w14:textId="1574A138" w:rsidR="0088310C" w:rsidRPr="00871256" w:rsidRDefault="0088310C" w:rsidP="00871256">
      <w:pPr>
        <w:numPr>
          <w:ilvl w:val="0"/>
          <w:numId w:val="19"/>
        </w:numPr>
        <w:spacing w:after="240" w:line="300" w:lineRule="exact"/>
        <w:rPr>
          <w:rFonts w:cs="Arial"/>
          <w:szCs w:val="19"/>
        </w:rPr>
      </w:pPr>
      <w:r w:rsidRPr="008A6162">
        <w:rPr>
          <w:rFonts w:cs="Arial"/>
          <w:szCs w:val="19"/>
        </w:rPr>
        <w:t xml:space="preserve">In de toelichting op de Regeling meettarieven </w:t>
      </w:r>
      <w:r>
        <w:rPr>
          <w:rFonts w:cs="Arial"/>
          <w:szCs w:val="19"/>
        </w:rPr>
        <w:t>beschrijft</w:t>
      </w:r>
      <w:r w:rsidRPr="008A6162">
        <w:rPr>
          <w:rFonts w:cs="Arial"/>
          <w:szCs w:val="19"/>
        </w:rPr>
        <w:t xml:space="preserve"> de Minister</w:t>
      </w:r>
      <w:r>
        <w:rPr>
          <w:rFonts w:cs="Arial"/>
          <w:szCs w:val="19"/>
        </w:rPr>
        <w:t xml:space="preserve"> dat de aanleiding voor een ministeriële regeling voor meettarieven elektriciteit voor het jaar 2008</w:t>
      </w:r>
      <w:r w:rsidRPr="008A6162">
        <w:rPr>
          <w:szCs w:val="19"/>
          <w:vertAlign w:val="superscript"/>
        </w:rPr>
        <w:footnoteReference w:id="5"/>
      </w:r>
      <w:r w:rsidRPr="008A6162">
        <w:rPr>
          <w:rFonts w:cs="Arial"/>
          <w:szCs w:val="19"/>
        </w:rPr>
        <w:t xml:space="preserve"> </w:t>
      </w:r>
      <w:r>
        <w:rPr>
          <w:rFonts w:cs="Arial"/>
          <w:szCs w:val="19"/>
        </w:rPr>
        <w:t>voortkwam uit</w:t>
      </w:r>
      <w:r w:rsidRPr="008A6162">
        <w:rPr>
          <w:rFonts w:cs="Arial"/>
          <w:szCs w:val="19"/>
        </w:rPr>
        <w:t xml:space="preserve"> de wens van de Tweede Kamer in 2004 tot regulering van de meettarieven om de consument te beschermen tegen onredelijke tariefstelli</w:t>
      </w:r>
      <w:r>
        <w:rPr>
          <w:rFonts w:cs="Arial"/>
          <w:szCs w:val="19"/>
        </w:rPr>
        <w:t>ngen</w:t>
      </w:r>
      <w:r w:rsidRPr="008A6162">
        <w:rPr>
          <w:rFonts w:cs="Arial"/>
          <w:szCs w:val="19"/>
        </w:rPr>
        <w:t xml:space="preserve">. In die regeling </w:t>
      </w:r>
      <w:r>
        <w:rPr>
          <w:rFonts w:cs="Arial"/>
          <w:szCs w:val="19"/>
        </w:rPr>
        <w:t>is bepaald dat</w:t>
      </w:r>
      <w:r w:rsidRPr="008A6162">
        <w:rPr>
          <w:rFonts w:cs="Arial"/>
          <w:szCs w:val="19"/>
        </w:rPr>
        <w:t xml:space="preserve"> de meettarieven van de netbeheerders niet hoger </w:t>
      </w:r>
      <w:r>
        <w:rPr>
          <w:rFonts w:cs="Arial"/>
          <w:szCs w:val="19"/>
        </w:rPr>
        <w:t xml:space="preserve">mogen zijn </w:t>
      </w:r>
      <w:r w:rsidRPr="008A6162">
        <w:rPr>
          <w:rFonts w:cs="Arial"/>
          <w:szCs w:val="19"/>
        </w:rPr>
        <w:t xml:space="preserve">dan het gewogen gemiddelde van de tarieven voor het jaar 2005, vermeerderd met het consumentenprijsindexcijfer (hierna: 2005+CPI). </w:t>
      </w:r>
      <w:r>
        <w:rPr>
          <w:rFonts w:cs="Arial"/>
          <w:szCs w:val="19"/>
        </w:rPr>
        <w:t>In</w:t>
      </w:r>
      <w:r w:rsidRPr="008A6162">
        <w:rPr>
          <w:rFonts w:cs="Arial"/>
          <w:szCs w:val="19"/>
        </w:rPr>
        <w:t xml:space="preserve"> de jaren 2009 en 2010 is voorzien in een soortgelijke regeling</w:t>
      </w:r>
      <w:r>
        <w:rPr>
          <w:rFonts w:cs="Arial"/>
          <w:szCs w:val="19"/>
        </w:rPr>
        <w:t xml:space="preserve">. </w:t>
      </w:r>
    </w:p>
    <w:p w14:paraId="6DD30E0A" w14:textId="7D35505C" w:rsidR="0088310C" w:rsidRPr="00871256" w:rsidRDefault="0088310C" w:rsidP="00871256">
      <w:pPr>
        <w:numPr>
          <w:ilvl w:val="0"/>
          <w:numId w:val="19"/>
        </w:numPr>
        <w:spacing w:after="240" w:line="300" w:lineRule="exact"/>
        <w:rPr>
          <w:rFonts w:cs="Arial"/>
          <w:szCs w:val="19"/>
        </w:rPr>
      </w:pPr>
      <w:r w:rsidRPr="008A6162">
        <w:rPr>
          <w:rFonts w:cs="Arial"/>
          <w:szCs w:val="19"/>
        </w:rPr>
        <w:t>De</w:t>
      </w:r>
      <w:r>
        <w:rPr>
          <w:rFonts w:cs="Arial"/>
          <w:szCs w:val="19"/>
        </w:rPr>
        <w:t xml:space="preserve"> ‘Regeling meettarieven’</w:t>
      </w:r>
      <w:r w:rsidRPr="008A6162">
        <w:rPr>
          <w:rFonts w:cs="Arial"/>
          <w:szCs w:val="19"/>
        </w:rPr>
        <w:t xml:space="preserve"> vervangt de </w:t>
      </w:r>
      <w:r>
        <w:rPr>
          <w:rFonts w:cs="Arial"/>
          <w:szCs w:val="19"/>
        </w:rPr>
        <w:t>‘</w:t>
      </w:r>
      <w:r w:rsidRPr="008A6162">
        <w:rPr>
          <w:rFonts w:cs="Arial"/>
          <w:szCs w:val="19"/>
        </w:rPr>
        <w:t>Regeling meettarieven elektriciteit 2010</w:t>
      </w:r>
      <w:r>
        <w:rPr>
          <w:rFonts w:cs="Arial"/>
          <w:szCs w:val="19"/>
        </w:rPr>
        <w:t>’</w:t>
      </w:r>
      <w:r w:rsidRPr="008A6162">
        <w:rPr>
          <w:rFonts w:cs="Arial"/>
          <w:szCs w:val="19"/>
        </w:rPr>
        <w:t xml:space="preserve">. De Regeling meettarieven </w:t>
      </w:r>
      <w:r>
        <w:rPr>
          <w:rFonts w:cs="Arial"/>
          <w:szCs w:val="19"/>
        </w:rPr>
        <w:t xml:space="preserve">wijkt </w:t>
      </w:r>
      <w:r w:rsidRPr="008A6162">
        <w:rPr>
          <w:rFonts w:cs="Arial"/>
          <w:szCs w:val="19"/>
        </w:rPr>
        <w:t xml:space="preserve">op twee punten af van zijn voorloper. </w:t>
      </w:r>
      <w:r>
        <w:rPr>
          <w:rFonts w:cs="Arial"/>
          <w:szCs w:val="19"/>
        </w:rPr>
        <w:t>Ten eerste</w:t>
      </w:r>
      <w:r w:rsidRPr="008A6162">
        <w:rPr>
          <w:rFonts w:cs="Arial"/>
          <w:szCs w:val="19"/>
        </w:rPr>
        <w:t xml:space="preserve"> kent de regeling geen einddatum en is </w:t>
      </w:r>
      <w:r>
        <w:rPr>
          <w:rFonts w:cs="Arial"/>
          <w:szCs w:val="19"/>
        </w:rPr>
        <w:t xml:space="preserve">de Regeling </w:t>
      </w:r>
      <w:r w:rsidRPr="008A6162">
        <w:rPr>
          <w:rFonts w:cs="Arial"/>
          <w:szCs w:val="19"/>
        </w:rPr>
        <w:t xml:space="preserve">daarmee niet beperkt tot één jaar. </w:t>
      </w:r>
      <w:r>
        <w:rPr>
          <w:rFonts w:cs="Arial"/>
          <w:szCs w:val="19"/>
        </w:rPr>
        <w:t>Ten tweede</w:t>
      </w:r>
      <w:r w:rsidRPr="008A6162">
        <w:rPr>
          <w:rFonts w:cs="Arial"/>
          <w:szCs w:val="19"/>
        </w:rPr>
        <w:t xml:space="preserve"> </w:t>
      </w:r>
      <w:r>
        <w:rPr>
          <w:rFonts w:cs="Arial"/>
          <w:szCs w:val="19"/>
        </w:rPr>
        <w:t>geldt</w:t>
      </w:r>
      <w:r w:rsidRPr="008A6162">
        <w:rPr>
          <w:rFonts w:cs="Arial"/>
          <w:szCs w:val="19"/>
        </w:rPr>
        <w:t xml:space="preserve"> deze regeling, anders dan voorheen, zowel </w:t>
      </w:r>
      <w:r>
        <w:rPr>
          <w:rFonts w:cs="Arial"/>
          <w:szCs w:val="19"/>
        </w:rPr>
        <w:t>voor de door netbeheerders te hanteren maximum meettarieven</w:t>
      </w:r>
      <w:r w:rsidRPr="008A6162">
        <w:rPr>
          <w:rFonts w:cs="Arial"/>
          <w:szCs w:val="19"/>
        </w:rPr>
        <w:t xml:space="preserve"> elektriciteit als de meettarieven gas</w:t>
      </w:r>
      <w:r>
        <w:rPr>
          <w:rFonts w:cs="Arial"/>
          <w:szCs w:val="19"/>
        </w:rPr>
        <w:t xml:space="preserve"> voor kleinverbruikers</w:t>
      </w:r>
      <w:r w:rsidRPr="008A6162">
        <w:rPr>
          <w:rFonts w:cs="Arial"/>
          <w:szCs w:val="19"/>
        </w:rPr>
        <w:t>.</w:t>
      </w:r>
    </w:p>
    <w:p w14:paraId="54CE8127" w14:textId="77777777" w:rsidR="0088310C" w:rsidRPr="008A6162" w:rsidRDefault="0088310C" w:rsidP="00871256">
      <w:pPr>
        <w:numPr>
          <w:ilvl w:val="0"/>
          <w:numId w:val="19"/>
        </w:numPr>
        <w:spacing w:after="240" w:line="300" w:lineRule="exact"/>
        <w:rPr>
          <w:rFonts w:cs="Arial"/>
          <w:szCs w:val="19"/>
        </w:rPr>
      </w:pPr>
      <w:r w:rsidRPr="008A6162">
        <w:rPr>
          <w:rFonts w:cs="Arial"/>
          <w:szCs w:val="19"/>
        </w:rPr>
        <w:t xml:space="preserve">Over de </w:t>
      </w:r>
      <w:r>
        <w:rPr>
          <w:rFonts w:cs="Arial"/>
          <w:szCs w:val="19"/>
        </w:rPr>
        <w:t>huidige</w:t>
      </w:r>
      <w:r w:rsidRPr="008A6162">
        <w:rPr>
          <w:rFonts w:cs="Arial"/>
          <w:szCs w:val="19"/>
        </w:rPr>
        <w:t xml:space="preserve"> regeling merkt de Minister op dat ‘</w:t>
      </w:r>
      <w:r w:rsidRPr="008A6162">
        <w:rPr>
          <w:rFonts w:cs="Arial"/>
          <w:i/>
          <w:szCs w:val="19"/>
        </w:rPr>
        <w:t>de regeling waarborgt dat netbeheerders over per saldo kostendekkende meettarieven (inclusief een redelijk rendement) beschikken en verzekert dat consumenten niet teveel betalen’</w:t>
      </w:r>
      <w:r w:rsidRPr="008A6162">
        <w:rPr>
          <w:rFonts w:cs="Arial"/>
          <w:szCs w:val="19"/>
        </w:rPr>
        <w:t xml:space="preserve">.(..) </w:t>
      </w:r>
      <w:r>
        <w:rPr>
          <w:rFonts w:cs="Arial"/>
          <w:szCs w:val="19"/>
        </w:rPr>
        <w:t>‘</w:t>
      </w:r>
      <w:r w:rsidRPr="008A6162">
        <w:rPr>
          <w:rFonts w:cs="Arial"/>
          <w:i/>
          <w:szCs w:val="19"/>
        </w:rPr>
        <w:t>Daarnaast beoogt de regeling het tarief zo stabiel mogelijk te houden, ook tijdens de uitrol van de op afstand uitleesbare meters (‘slimme’ meters)’.</w:t>
      </w:r>
    </w:p>
    <w:p w14:paraId="113DA830" w14:textId="064396D7" w:rsidR="0088310C" w:rsidRPr="00737E07" w:rsidRDefault="0088310C" w:rsidP="00737E07">
      <w:pPr>
        <w:pStyle w:val="Kop2"/>
      </w:pPr>
      <w:bookmarkStart w:id="4" w:name="_Ref168454051"/>
      <w:bookmarkEnd w:id="2"/>
      <w:bookmarkEnd w:id="3"/>
      <w:r w:rsidRPr="00737E07">
        <w:t>Systematiek</w:t>
      </w:r>
    </w:p>
    <w:p w14:paraId="0569E5F3" w14:textId="77777777" w:rsidR="0088310C" w:rsidRPr="008A6162" w:rsidRDefault="0088310C" w:rsidP="0088310C">
      <w:pPr>
        <w:numPr>
          <w:ilvl w:val="0"/>
          <w:numId w:val="19"/>
        </w:numPr>
        <w:spacing w:line="300" w:lineRule="exact"/>
        <w:rPr>
          <w:rFonts w:cs="Arial"/>
          <w:szCs w:val="19"/>
        </w:rPr>
      </w:pPr>
      <w:r w:rsidRPr="008A6162">
        <w:rPr>
          <w:rFonts w:cs="Arial"/>
          <w:szCs w:val="19"/>
        </w:rPr>
        <w:t>In de toelichting op de Regeling meettarieven gaat de Minister in op de systematiek van de regulering</w:t>
      </w:r>
      <w:r>
        <w:rPr>
          <w:rFonts w:cs="Arial"/>
          <w:szCs w:val="19"/>
        </w:rPr>
        <w:t xml:space="preserve"> en op</w:t>
      </w:r>
      <w:r w:rsidRPr="008A6162">
        <w:rPr>
          <w:rFonts w:cs="Arial"/>
          <w:szCs w:val="19"/>
        </w:rPr>
        <w:t xml:space="preserve"> de rol die hierbij </w:t>
      </w:r>
      <w:r>
        <w:rPr>
          <w:rFonts w:cs="Arial"/>
          <w:szCs w:val="19"/>
        </w:rPr>
        <w:t>toekomt</w:t>
      </w:r>
      <w:r w:rsidRPr="008A6162">
        <w:rPr>
          <w:rFonts w:cs="Arial"/>
          <w:szCs w:val="19"/>
        </w:rPr>
        <w:t xml:space="preserve"> aan </w:t>
      </w:r>
      <w:r>
        <w:rPr>
          <w:rFonts w:cs="Arial"/>
          <w:szCs w:val="19"/>
        </w:rPr>
        <w:t>de ACM. De ACM geeft hieronder kort weer wat deze rol voor de ACM inhoudt.</w:t>
      </w:r>
    </w:p>
    <w:p w14:paraId="4AA74AB5" w14:textId="495C7319" w:rsidR="0088310C" w:rsidRPr="00737E07" w:rsidRDefault="0088310C" w:rsidP="00CB3EE6">
      <w:pPr>
        <w:pStyle w:val="Kop3"/>
      </w:pPr>
      <w:r w:rsidRPr="00737E07">
        <w:t xml:space="preserve">Periode 1: Tarief 2005 + CPI </w:t>
      </w:r>
    </w:p>
    <w:p w14:paraId="3C7A8950" w14:textId="1A24D904" w:rsidR="0088310C" w:rsidRPr="00871256" w:rsidRDefault="0088310C" w:rsidP="00871256">
      <w:pPr>
        <w:numPr>
          <w:ilvl w:val="0"/>
          <w:numId w:val="19"/>
        </w:numPr>
        <w:spacing w:line="300" w:lineRule="exact"/>
        <w:rPr>
          <w:rFonts w:cs="Arial"/>
          <w:i/>
          <w:szCs w:val="19"/>
        </w:rPr>
      </w:pPr>
      <w:bookmarkStart w:id="5" w:name="_Hlk85531393"/>
      <w:r>
        <w:rPr>
          <w:rFonts w:cs="Arial"/>
          <w:iCs/>
          <w:szCs w:val="19"/>
        </w:rPr>
        <w:t xml:space="preserve">De Regeling meettarieven bepaalt hoe de ACM de meettarieven in de eerste periode berekent: </w:t>
      </w:r>
      <w:bookmarkEnd w:id="5"/>
    </w:p>
    <w:p w14:paraId="4E4DD357" w14:textId="42FDDFA8" w:rsidR="0088310C" w:rsidRPr="00871256" w:rsidRDefault="0088310C" w:rsidP="00871256">
      <w:pPr>
        <w:spacing w:after="240" w:line="300" w:lineRule="exact"/>
        <w:ind w:left="360"/>
        <w:rPr>
          <w:rFonts w:cs="Arial"/>
          <w:i/>
          <w:szCs w:val="19"/>
        </w:rPr>
      </w:pPr>
      <w:r w:rsidRPr="008A6162">
        <w:rPr>
          <w:rFonts w:cs="Arial"/>
          <w:i/>
          <w:szCs w:val="19"/>
        </w:rPr>
        <w:t xml:space="preserve">‘In de eerste periode is sprake van een voor alle netbeheerders geldend maximum meettarief dat door </w:t>
      </w:r>
      <w:r w:rsidRPr="009347CC">
        <w:rPr>
          <w:rFonts w:cs="Arial"/>
          <w:i/>
          <w:szCs w:val="19"/>
        </w:rPr>
        <w:t>de raad van bestuur van de Nederlandse Mededingingsautoriteit (hierna: NMa)</w:t>
      </w:r>
      <w:r>
        <w:rPr>
          <w:rFonts w:cs="Arial"/>
          <w:i/>
          <w:szCs w:val="19"/>
        </w:rPr>
        <w:t xml:space="preserve"> </w:t>
      </w:r>
      <w:r>
        <w:rPr>
          <w:rFonts w:cs="Arial"/>
          <w:szCs w:val="19"/>
        </w:rPr>
        <w:t>(nu de ACM)</w:t>
      </w:r>
      <w:r w:rsidRPr="008A6162">
        <w:rPr>
          <w:rFonts w:cs="Arial"/>
          <w:i/>
          <w:szCs w:val="19"/>
        </w:rPr>
        <w:t xml:space="preserve"> jaarlijks vastgesteld wordt op basis van ‘2005+CPI</w:t>
      </w:r>
      <w:r>
        <w:rPr>
          <w:rFonts w:cs="Arial"/>
          <w:i/>
          <w:szCs w:val="19"/>
        </w:rPr>
        <w:t>.</w:t>
      </w:r>
      <w:r w:rsidRPr="008A6162">
        <w:rPr>
          <w:rFonts w:cs="Arial"/>
          <w:i/>
          <w:szCs w:val="19"/>
        </w:rPr>
        <w:t>’</w:t>
      </w:r>
      <w:r w:rsidRPr="00503BED">
        <w:rPr>
          <w:rStyle w:val="Voetnootmarkering"/>
          <w:rFonts w:cs="Arial"/>
          <w:i/>
          <w:szCs w:val="19"/>
        </w:rPr>
        <w:t xml:space="preserve"> </w:t>
      </w:r>
      <w:r>
        <w:rPr>
          <w:rStyle w:val="Voetnootmarkering"/>
          <w:rFonts w:cs="Arial"/>
          <w:i/>
          <w:szCs w:val="19"/>
        </w:rPr>
        <w:footnoteReference w:id="6"/>
      </w:r>
      <w:r w:rsidRPr="008A6162">
        <w:rPr>
          <w:rFonts w:cs="Arial"/>
          <w:i/>
          <w:szCs w:val="19"/>
        </w:rPr>
        <w:t xml:space="preserve">  </w:t>
      </w:r>
    </w:p>
    <w:p w14:paraId="1AB17CBC" w14:textId="77777777" w:rsidR="0088310C" w:rsidRPr="00503BED" w:rsidRDefault="0088310C" w:rsidP="0088310C">
      <w:pPr>
        <w:numPr>
          <w:ilvl w:val="0"/>
          <w:numId w:val="19"/>
        </w:numPr>
        <w:spacing w:line="300" w:lineRule="exact"/>
        <w:rPr>
          <w:rFonts w:cs="Arial"/>
          <w:szCs w:val="19"/>
        </w:rPr>
      </w:pPr>
      <w:r w:rsidRPr="008A6162">
        <w:rPr>
          <w:rFonts w:cs="Arial"/>
          <w:szCs w:val="19"/>
        </w:rPr>
        <w:lastRenderedPageBreak/>
        <w:t xml:space="preserve">In artikel 1 van de Regeling meettarieven is voor kleinverbruikers van elektriciteit bepaald op welke wijze </w:t>
      </w:r>
      <w:r>
        <w:rPr>
          <w:rFonts w:cs="Arial"/>
          <w:szCs w:val="19"/>
        </w:rPr>
        <w:t xml:space="preserve">de ACM </w:t>
      </w:r>
      <w:r w:rsidRPr="008A6162">
        <w:rPr>
          <w:rFonts w:cs="Arial"/>
          <w:szCs w:val="19"/>
        </w:rPr>
        <w:t xml:space="preserve">dit tarief dient te </w:t>
      </w:r>
      <w:r>
        <w:rPr>
          <w:rFonts w:cs="Arial"/>
          <w:szCs w:val="19"/>
        </w:rPr>
        <w:t>berekenen</w:t>
      </w:r>
      <w:r w:rsidRPr="008A6162">
        <w:rPr>
          <w:rFonts w:cs="Arial"/>
          <w:szCs w:val="19"/>
        </w:rPr>
        <w:t>.</w:t>
      </w:r>
    </w:p>
    <w:p w14:paraId="260B00C1" w14:textId="77777777" w:rsidR="0088310C" w:rsidRPr="008A6162" w:rsidRDefault="0088310C" w:rsidP="00CB3EE6">
      <w:pPr>
        <w:pStyle w:val="Kop3"/>
      </w:pPr>
      <w:r w:rsidRPr="008A6162">
        <w:t>Periode 2</w:t>
      </w:r>
      <w:r>
        <w:t>: K</w:t>
      </w:r>
      <w:r w:rsidRPr="008A6162">
        <w:t>ostenoriëntatie</w:t>
      </w:r>
    </w:p>
    <w:p w14:paraId="0F28B865" w14:textId="77777777" w:rsidR="0088310C" w:rsidRPr="00AE6F48" w:rsidRDefault="0088310C" w:rsidP="0088310C">
      <w:pPr>
        <w:numPr>
          <w:ilvl w:val="0"/>
          <w:numId w:val="19"/>
        </w:numPr>
        <w:spacing w:line="300" w:lineRule="exact"/>
        <w:rPr>
          <w:rFonts w:cs="Arial"/>
          <w:i/>
          <w:szCs w:val="19"/>
        </w:rPr>
      </w:pPr>
      <w:bookmarkStart w:id="6" w:name="_Hlk85531420"/>
      <w:r>
        <w:rPr>
          <w:rFonts w:cs="Arial"/>
          <w:iCs/>
          <w:szCs w:val="19"/>
        </w:rPr>
        <w:t xml:space="preserve">De Regeling meettarieven bepaalt vervolgens hoe de ACM de meettarieven in de tweede periode berekent: </w:t>
      </w:r>
    </w:p>
    <w:bookmarkEnd w:id="6"/>
    <w:p w14:paraId="54403F3E" w14:textId="25087859" w:rsidR="0088310C" w:rsidRPr="008A6162" w:rsidRDefault="0088310C" w:rsidP="00871256">
      <w:pPr>
        <w:spacing w:after="240" w:line="300" w:lineRule="exact"/>
        <w:ind w:left="360"/>
        <w:rPr>
          <w:rFonts w:cs="Arial"/>
          <w:i/>
          <w:szCs w:val="19"/>
        </w:rPr>
      </w:pPr>
      <w:r w:rsidRPr="008A6162">
        <w:rPr>
          <w:rFonts w:cs="Arial"/>
          <w:i/>
          <w:szCs w:val="19"/>
        </w:rPr>
        <w:t>‘In de tweede periode zal voor de vaststelling van het meettarief worden uitgegaan van kostenoriëntatie.</w:t>
      </w:r>
      <w:r w:rsidRPr="0052332E">
        <w:rPr>
          <w:rFonts w:cs="Arial"/>
          <w:szCs w:val="19"/>
        </w:rPr>
        <w:t>(…)</w:t>
      </w:r>
      <w:r>
        <w:rPr>
          <w:rFonts w:cs="Arial"/>
          <w:i/>
          <w:szCs w:val="19"/>
        </w:rPr>
        <w:t xml:space="preserve"> </w:t>
      </w:r>
      <w:r w:rsidRPr="008A6162">
        <w:rPr>
          <w:rFonts w:cs="Arial"/>
          <w:i/>
          <w:szCs w:val="19"/>
        </w:rPr>
        <w:t xml:space="preserve"> Kostenoriëntatie houdt in dat </w:t>
      </w:r>
      <w:r>
        <w:rPr>
          <w:rFonts w:cs="Arial"/>
          <w:i/>
          <w:szCs w:val="19"/>
        </w:rPr>
        <w:t xml:space="preserve">de NMa </w:t>
      </w:r>
      <w:r>
        <w:rPr>
          <w:rFonts w:cs="Arial"/>
          <w:szCs w:val="19"/>
        </w:rPr>
        <w:t>(nu de ACM)</w:t>
      </w:r>
      <w:r w:rsidRPr="008A6162">
        <w:rPr>
          <w:rFonts w:cs="Arial"/>
          <w:i/>
          <w:szCs w:val="19"/>
        </w:rPr>
        <w:t xml:space="preserve">  de tarieven voor het jaar t steeds vaststelt aan de hand van de in de boekhouding vastgestelde kosten die een netbeheerder heeft gemaakt in jaar t-2. </w:t>
      </w:r>
      <w:r w:rsidRPr="0052332E">
        <w:rPr>
          <w:rFonts w:cs="Arial"/>
          <w:szCs w:val="19"/>
        </w:rPr>
        <w:t>(…)</w:t>
      </w:r>
      <w:r>
        <w:rPr>
          <w:rFonts w:cs="Arial"/>
          <w:i/>
          <w:szCs w:val="19"/>
        </w:rPr>
        <w:t xml:space="preserve"> De NMa </w:t>
      </w:r>
      <w:r>
        <w:rPr>
          <w:rFonts w:cs="Arial"/>
          <w:szCs w:val="19"/>
        </w:rPr>
        <w:t>(nu de ACM)</w:t>
      </w:r>
      <w:r w:rsidRPr="008A6162">
        <w:rPr>
          <w:rFonts w:cs="Arial"/>
          <w:i/>
          <w:szCs w:val="19"/>
        </w:rPr>
        <w:t xml:space="preserve">  stelt </w:t>
      </w:r>
      <w:r>
        <w:rPr>
          <w:rFonts w:cs="Arial"/>
          <w:i/>
          <w:szCs w:val="19"/>
        </w:rPr>
        <w:t xml:space="preserve">in tegenstelling tot de eerste periode </w:t>
      </w:r>
      <w:r w:rsidRPr="008A6162">
        <w:rPr>
          <w:rFonts w:cs="Arial"/>
          <w:i/>
          <w:szCs w:val="19"/>
        </w:rPr>
        <w:t xml:space="preserve">in deze tweede periode per netbeheerder een tarief vast. </w:t>
      </w:r>
      <w:r w:rsidRPr="0052332E">
        <w:rPr>
          <w:rFonts w:cs="Arial"/>
          <w:szCs w:val="19"/>
        </w:rPr>
        <w:t>(…)</w:t>
      </w:r>
      <w:r>
        <w:rPr>
          <w:rFonts w:cs="Arial"/>
          <w:i/>
          <w:szCs w:val="19"/>
        </w:rPr>
        <w:t xml:space="preserve"> de NMa </w:t>
      </w:r>
      <w:r>
        <w:rPr>
          <w:rFonts w:cs="Arial"/>
          <w:szCs w:val="19"/>
        </w:rPr>
        <w:t>(nu de ACM)</w:t>
      </w:r>
      <w:r w:rsidRPr="008A6162">
        <w:rPr>
          <w:rFonts w:cs="Arial"/>
          <w:i/>
          <w:szCs w:val="19"/>
        </w:rPr>
        <w:t xml:space="preserve">  kan bij de jaarlijkse vaststelling van het tarief in de tweede periode rekening houden met verschillen tussen kosten en opbrengsten uit de eerste periode en de voorafgaande jaren van de </w:t>
      </w:r>
      <w:r>
        <w:rPr>
          <w:rFonts w:cs="Arial"/>
          <w:i/>
          <w:szCs w:val="19"/>
        </w:rPr>
        <w:t xml:space="preserve">tweede </w:t>
      </w:r>
      <w:r w:rsidRPr="008A6162">
        <w:rPr>
          <w:rFonts w:cs="Arial"/>
          <w:i/>
          <w:szCs w:val="19"/>
        </w:rPr>
        <w:t>periode.’</w:t>
      </w:r>
      <w:r>
        <w:rPr>
          <w:rStyle w:val="Voetnootmarkering"/>
          <w:rFonts w:cs="Arial"/>
          <w:i/>
          <w:szCs w:val="19"/>
        </w:rPr>
        <w:footnoteReference w:id="7"/>
      </w:r>
    </w:p>
    <w:p w14:paraId="510AD11D" w14:textId="4E2964AF" w:rsidR="0088310C" w:rsidRPr="00871256" w:rsidRDefault="0088310C" w:rsidP="00871256">
      <w:pPr>
        <w:numPr>
          <w:ilvl w:val="0"/>
          <w:numId w:val="19"/>
        </w:numPr>
        <w:spacing w:after="240" w:line="300" w:lineRule="exact"/>
        <w:rPr>
          <w:rFonts w:cs="Arial"/>
          <w:szCs w:val="19"/>
        </w:rPr>
      </w:pPr>
      <w:r w:rsidRPr="008A6162">
        <w:rPr>
          <w:rFonts w:cs="Arial"/>
          <w:szCs w:val="19"/>
        </w:rPr>
        <w:t xml:space="preserve">In het kader van de hiervoor beschreven systematiek, gaat de Minister er vanuit dat </w:t>
      </w:r>
      <w:r>
        <w:rPr>
          <w:rFonts w:cs="Arial"/>
          <w:szCs w:val="19"/>
        </w:rPr>
        <w:t>de ACM</w:t>
      </w:r>
      <w:r w:rsidRPr="008A6162">
        <w:rPr>
          <w:rFonts w:cs="Arial"/>
          <w:szCs w:val="19"/>
        </w:rPr>
        <w:t xml:space="preserve"> vanaf 2011 voor elektriciteit de kosten van de netbeheerders volgens de ‘</w:t>
      </w:r>
      <w:r w:rsidRPr="008A6162">
        <w:rPr>
          <w:rFonts w:cs="Arial"/>
          <w:i/>
          <w:szCs w:val="19"/>
        </w:rPr>
        <w:t>Regulator</w:t>
      </w:r>
      <w:r>
        <w:rPr>
          <w:rFonts w:cs="Arial"/>
          <w:i/>
          <w:szCs w:val="19"/>
        </w:rPr>
        <w:t>ische</w:t>
      </w:r>
      <w:r w:rsidRPr="008A6162">
        <w:rPr>
          <w:rFonts w:cs="Arial"/>
          <w:i/>
          <w:szCs w:val="19"/>
        </w:rPr>
        <w:t xml:space="preserve"> Accounting Regels</w:t>
      </w:r>
      <w:r w:rsidRPr="008A6162">
        <w:rPr>
          <w:rFonts w:cs="Arial"/>
          <w:szCs w:val="19"/>
        </w:rPr>
        <w:t>’</w:t>
      </w:r>
      <w:r>
        <w:rPr>
          <w:rFonts w:cs="Arial"/>
          <w:szCs w:val="19"/>
        </w:rPr>
        <w:t xml:space="preserve"> </w:t>
      </w:r>
      <w:r w:rsidRPr="008A6162">
        <w:rPr>
          <w:rFonts w:cs="Arial"/>
          <w:szCs w:val="19"/>
        </w:rPr>
        <w:t>(</w:t>
      </w:r>
      <w:r w:rsidR="00597AB5">
        <w:rPr>
          <w:rFonts w:cs="Arial"/>
          <w:szCs w:val="19"/>
        </w:rPr>
        <w:t xml:space="preserve">hierna: </w:t>
      </w:r>
      <w:r w:rsidRPr="008A6162">
        <w:rPr>
          <w:rFonts w:cs="Arial"/>
          <w:szCs w:val="19"/>
        </w:rPr>
        <w:t>RAR) monitort. Tevens kondigt de Minister aan dat in de eerste periode wordt gestart met het traject om per netbeheerder de Gestandaardiseerde Activa Waarde (</w:t>
      </w:r>
      <w:r w:rsidR="00597AB5">
        <w:rPr>
          <w:rFonts w:cs="Arial"/>
          <w:szCs w:val="19"/>
        </w:rPr>
        <w:t xml:space="preserve">hierna: </w:t>
      </w:r>
      <w:r w:rsidRPr="008A6162">
        <w:rPr>
          <w:rFonts w:cs="Arial"/>
          <w:szCs w:val="19"/>
        </w:rPr>
        <w:t xml:space="preserve">GAW) van de meters vast te stellen. </w:t>
      </w:r>
    </w:p>
    <w:p w14:paraId="09BCC11F" w14:textId="23482EF8" w:rsidR="0088310C" w:rsidRPr="00871256" w:rsidRDefault="0088310C" w:rsidP="00871256">
      <w:pPr>
        <w:numPr>
          <w:ilvl w:val="0"/>
          <w:numId w:val="19"/>
        </w:numPr>
        <w:spacing w:after="240" w:line="300" w:lineRule="exact"/>
        <w:rPr>
          <w:rFonts w:cs="Arial"/>
          <w:szCs w:val="19"/>
        </w:rPr>
      </w:pPr>
      <w:r w:rsidRPr="008A6162">
        <w:rPr>
          <w:rFonts w:cs="Arial"/>
          <w:szCs w:val="19"/>
        </w:rPr>
        <w:t xml:space="preserve">Na afloop van de (meerjarige) regeling beoogt de Minister om de meettarieven onderdeel te laten uitmaken van het algemene netwerktarief, dat op basis van ‘maatstafconcurrentie’ tot stand komt. </w:t>
      </w:r>
      <w:r>
        <w:rPr>
          <w:rFonts w:cs="Arial"/>
          <w:szCs w:val="19"/>
        </w:rPr>
        <w:t>De ACM verwijst</w:t>
      </w:r>
      <w:r w:rsidRPr="008A6162">
        <w:rPr>
          <w:rFonts w:cs="Arial"/>
          <w:szCs w:val="19"/>
        </w:rPr>
        <w:t xml:space="preserve"> voor een nadere toelichting op dit punt naar de toelichting op de </w:t>
      </w:r>
      <w:r>
        <w:rPr>
          <w:rFonts w:cs="Arial"/>
          <w:szCs w:val="19"/>
        </w:rPr>
        <w:t>Regeling meettarieven</w:t>
      </w:r>
      <w:r w:rsidRPr="008A6162">
        <w:rPr>
          <w:rFonts w:cs="Arial"/>
          <w:szCs w:val="19"/>
        </w:rPr>
        <w:t>.</w:t>
      </w:r>
      <w:r>
        <w:rPr>
          <w:rStyle w:val="Voetnootmarkering"/>
          <w:rFonts w:cs="Arial"/>
          <w:szCs w:val="19"/>
        </w:rPr>
        <w:footnoteReference w:id="8"/>
      </w:r>
    </w:p>
    <w:p w14:paraId="01DAA979" w14:textId="2A4E0F9E" w:rsidR="0088310C" w:rsidRPr="00871256" w:rsidRDefault="0088310C" w:rsidP="00871256">
      <w:pPr>
        <w:numPr>
          <w:ilvl w:val="0"/>
          <w:numId w:val="19"/>
        </w:numPr>
        <w:spacing w:after="240" w:line="300" w:lineRule="exact"/>
        <w:rPr>
          <w:rFonts w:cs="Arial"/>
          <w:szCs w:val="19"/>
        </w:rPr>
      </w:pPr>
      <w:r w:rsidRPr="008A6162">
        <w:rPr>
          <w:rFonts w:cs="Arial"/>
          <w:szCs w:val="19"/>
        </w:rPr>
        <w:t xml:space="preserve">In de </w:t>
      </w:r>
      <w:r>
        <w:rPr>
          <w:rFonts w:cs="Arial"/>
          <w:szCs w:val="19"/>
        </w:rPr>
        <w:t>Regeling meettarieven</w:t>
      </w:r>
      <w:r w:rsidRPr="008A6162">
        <w:rPr>
          <w:rFonts w:cs="Arial"/>
          <w:szCs w:val="19"/>
        </w:rPr>
        <w:t xml:space="preserve"> wordt met betrekking tot de meettarieven voor elektriciteit vooralsnog enkel voorzien in de inwerkingtreding van artikel 1, dat voorschrijft op welke wijze </w:t>
      </w:r>
      <w:r>
        <w:rPr>
          <w:rFonts w:cs="Arial"/>
          <w:szCs w:val="19"/>
        </w:rPr>
        <w:t xml:space="preserve">de ACM </w:t>
      </w:r>
      <w:r w:rsidRPr="008A6162">
        <w:rPr>
          <w:rFonts w:cs="Arial"/>
          <w:szCs w:val="19"/>
        </w:rPr>
        <w:t xml:space="preserve">het tarief in periode 1 dient te </w:t>
      </w:r>
      <w:r>
        <w:rPr>
          <w:rFonts w:cs="Arial"/>
          <w:szCs w:val="19"/>
        </w:rPr>
        <w:t>berekenen</w:t>
      </w:r>
      <w:r w:rsidRPr="008A6162">
        <w:rPr>
          <w:rFonts w:cs="Arial"/>
          <w:szCs w:val="19"/>
        </w:rPr>
        <w:t xml:space="preserve">. Op het moment dat artikel </w:t>
      </w:r>
      <w:smartTag w:uri="urn:schemas-microsoft-com:office:smarttags" w:element="metricconverter">
        <w:smartTagPr>
          <w:attr w:name="ProductID" w:val="3 in"/>
        </w:smartTagPr>
        <w:r w:rsidRPr="008A6162">
          <w:rPr>
            <w:rFonts w:cs="Arial"/>
            <w:szCs w:val="19"/>
          </w:rPr>
          <w:t>3 in</w:t>
        </w:r>
      </w:smartTag>
      <w:r w:rsidRPr="008A6162">
        <w:rPr>
          <w:rFonts w:cs="Arial"/>
          <w:szCs w:val="19"/>
        </w:rPr>
        <w:t xml:space="preserve"> werking treedt, komt artikel 1 te vervallen. </w:t>
      </w:r>
    </w:p>
    <w:p w14:paraId="05D529CF" w14:textId="5168CFEE" w:rsidR="0088310C" w:rsidRPr="00871256" w:rsidRDefault="0088310C" w:rsidP="00871256">
      <w:pPr>
        <w:numPr>
          <w:ilvl w:val="0"/>
          <w:numId w:val="19"/>
        </w:numPr>
        <w:spacing w:after="240" w:line="300" w:lineRule="exact"/>
        <w:rPr>
          <w:rFonts w:cs="Arial"/>
          <w:szCs w:val="19"/>
        </w:rPr>
      </w:pPr>
      <w:bookmarkStart w:id="7" w:name="_Ref178254295"/>
      <w:r w:rsidRPr="008A6162">
        <w:rPr>
          <w:rFonts w:cs="Arial"/>
          <w:szCs w:val="19"/>
        </w:rPr>
        <w:t xml:space="preserve">De reikwijdte van </w:t>
      </w:r>
      <w:r>
        <w:rPr>
          <w:rFonts w:cs="Arial"/>
          <w:szCs w:val="19"/>
        </w:rPr>
        <w:t>het huidige</w:t>
      </w:r>
      <w:r w:rsidRPr="008A6162">
        <w:rPr>
          <w:rFonts w:cs="Arial"/>
          <w:szCs w:val="19"/>
        </w:rPr>
        <w:t xml:space="preserve"> besluit is beperkt tot meettarieven voor geïnstalleerde meetinrichtingen als bedoeld in artikel 16, eerste lid, sub o van de Elektriciteitswet 1998.</w:t>
      </w:r>
      <w:bookmarkEnd w:id="7"/>
      <w:r w:rsidRPr="008A6162">
        <w:rPr>
          <w:rFonts w:cs="Arial"/>
          <w:szCs w:val="19"/>
        </w:rPr>
        <w:t xml:space="preserve"> </w:t>
      </w:r>
    </w:p>
    <w:p w14:paraId="6507CB68" w14:textId="2EA22D5A" w:rsidR="007F7079" w:rsidRPr="00871256" w:rsidRDefault="0088310C" w:rsidP="00871256">
      <w:pPr>
        <w:numPr>
          <w:ilvl w:val="0"/>
          <w:numId w:val="19"/>
        </w:numPr>
        <w:spacing w:after="240" w:line="300" w:lineRule="exact"/>
        <w:rPr>
          <w:rFonts w:cs="Arial"/>
          <w:szCs w:val="19"/>
        </w:rPr>
      </w:pPr>
      <w:r w:rsidRPr="008A6162">
        <w:rPr>
          <w:rFonts w:cs="Arial"/>
          <w:szCs w:val="19"/>
        </w:rPr>
        <w:t xml:space="preserve">Uit het voorgaande volgt dat </w:t>
      </w:r>
      <w:r>
        <w:rPr>
          <w:rFonts w:cs="Arial"/>
          <w:szCs w:val="19"/>
        </w:rPr>
        <w:t>de ACM</w:t>
      </w:r>
      <w:r w:rsidRPr="008A6162">
        <w:rPr>
          <w:rFonts w:cs="Arial"/>
          <w:szCs w:val="19"/>
        </w:rPr>
        <w:t xml:space="preserve"> zich in </w:t>
      </w:r>
      <w:r>
        <w:rPr>
          <w:rFonts w:cs="Arial"/>
          <w:szCs w:val="19"/>
        </w:rPr>
        <w:t>dit</w:t>
      </w:r>
      <w:r w:rsidRPr="008A6162">
        <w:rPr>
          <w:rFonts w:cs="Arial"/>
          <w:szCs w:val="19"/>
        </w:rPr>
        <w:t xml:space="preserve"> besluit beperkt tot het vaststellen van de meettarieven voor kleinverbruikers van elektriciteit </w:t>
      </w:r>
      <w:r>
        <w:rPr>
          <w:rFonts w:cs="Arial"/>
          <w:szCs w:val="19"/>
        </w:rPr>
        <w:t>voor 202</w:t>
      </w:r>
      <w:r w:rsidR="005B4DAE">
        <w:rPr>
          <w:rFonts w:cs="Arial"/>
          <w:szCs w:val="19"/>
        </w:rPr>
        <w:t>5</w:t>
      </w:r>
      <w:r w:rsidRPr="008A6162">
        <w:rPr>
          <w:rFonts w:cs="Arial"/>
          <w:szCs w:val="19"/>
        </w:rPr>
        <w:t xml:space="preserve">. </w:t>
      </w:r>
      <w:bookmarkEnd w:id="4"/>
      <w:r w:rsidR="007F7079">
        <w:br w:type="page"/>
      </w:r>
    </w:p>
    <w:p w14:paraId="783B303E" w14:textId="12DC1581" w:rsidR="007F7079" w:rsidRPr="001B64BC" w:rsidRDefault="007F7079" w:rsidP="00175700">
      <w:pPr>
        <w:pStyle w:val="Kop1"/>
      </w:pPr>
      <w:r>
        <w:lastRenderedPageBreak/>
        <w:t>Methode</w:t>
      </w:r>
    </w:p>
    <w:p w14:paraId="2BA4920B" w14:textId="6E4F4F96" w:rsidR="007F7079" w:rsidRPr="00AD6667" w:rsidRDefault="007F7079" w:rsidP="00AD6667">
      <w:pPr>
        <w:numPr>
          <w:ilvl w:val="0"/>
          <w:numId w:val="19"/>
        </w:numPr>
        <w:spacing w:after="240" w:line="300" w:lineRule="exact"/>
        <w:rPr>
          <w:rFonts w:cs="Arial"/>
          <w:szCs w:val="19"/>
        </w:rPr>
      </w:pPr>
      <w:r w:rsidRPr="008A6162">
        <w:rPr>
          <w:rFonts w:cs="Arial"/>
          <w:szCs w:val="19"/>
        </w:rPr>
        <w:t>Op grond van het juridisch kader</w:t>
      </w:r>
      <w:r w:rsidR="00F650C8">
        <w:rPr>
          <w:rFonts w:cs="Arial"/>
          <w:szCs w:val="19"/>
        </w:rPr>
        <w:t xml:space="preserve">, </w:t>
      </w:r>
      <w:r w:rsidR="00A827CE">
        <w:rPr>
          <w:rFonts w:cs="Arial"/>
          <w:szCs w:val="19"/>
        </w:rPr>
        <w:t>omschreven in bijlage 1</w:t>
      </w:r>
      <w:r w:rsidR="00F650C8">
        <w:rPr>
          <w:rFonts w:cs="Arial"/>
          <w:szCs w:val="19"/>
        </w:rPr>
        <w:t>,</w:t>
      </w:r>
      <w:r w:rsidRPr="008A6162">
        <w:rPr>
          <w:rFonts w:cs="Arial"/>
          <w:szCs w:val="19"/>
        </w:rPr>
        <w:t xml:space="preserve"> en de toelichting van de Minister op de </w:t>
      </w:r>
      <w:r>
        <w:rPr>
          <w:rFonts w:cs="Arial"/>
          <w:szCs w:val="19"/>
        </w:rPr>
        <w:t>Regeling meettarieven</w:t>
      </w:r>
      <w:r w:rsidRPr="008A6162">
        <w:rPr>
          <w:rFonts w:cs="Arial"/>
          <w:szCs w:val="19"/>
        </w:rPr>
        <w:t xml:space="preserve">, komt </w:t>
      </w:r>
      <w:r>
        <w:rPr>
          <w:rFonts w:cs="Arial"/>
          <w:szCs w:val="19"/>
        </w:rPr>
        <w:t>de ACM</w:t>
      </w:r>
      <w:r w:rsidRPr="008A6162">
        <w:rPr>
          <w:rFonts w:cs="Arial"/>
          <w:szCs w:val="19"/>
        </w:rPr>
        <w:t xml:space="preserve"> tot de volgende invulling van </w:t>
      </w:r>
      <w:r>
        <w:rPr>
          <w:rFonts w:cs="Arial"/>
          <w:szCs w:val="19"/>
        </w:rPr>
        <w:t>haar</w:t>
      </w:r>
      <w:r w:rsidRPr="008A6162">
        <w:rPr>
          <w:rFonts w:cs="Arial"/>
          <w:szCs w:val="19"/>
        </w:rPr>
        <w:t xml:space="preserve"> bevoegdheid om de meettarieven voor kleinverbruikers van elektriciteit voor </w:t>
      </w:r>
      <w:r>
        <w:rPr>
          <w:rFonts w:cs="Arial"/>
          <w:szCs w:val="19"/>
        </w:rPr>
        <w:t>202</w:t>
      </w:r>
      <w:r w:rsidR="005B4DAE">
        <w:rPr>
          <w:rFonts w:cs="Arial"/>
          <w:szCs w:val="19"/>
        </w:rPr>
        <w:t>5</w:t>
      </w:r>
      <w:r>
        <w:rPr>
          <w:rFonts w:cs="Arial"/>
          <w:szCs w:val="19"/>
        </w:rPr>
        <w:t xml:space="preserve"> </w:t>
      </w:r>
      <w:r w:rsidRPr="008A6162">
        <w:rPr>
          <w:rFonts w:cs="Arial"/>
          <w:szCs w:val="19"/>
        </w:rPr>
        <w:t>vast te stellen.</w:t>
      </w:r>
    </w:p>
    <w:p w14:paraId="63837E5F" w14:textId="77777777" w:rsidR="007F7079" w:rsidRPr="00BC4A8A" w:rsidRDefault="007F7079" w:rsidP="007F7079">
      <w:pPr>
        <w:numPr>
          <w:ilvl w:val="0"/>
          <w:numId w:val="19"/>
        </w:numPr>
        <w:spacing w:line="300" w:lineRule="exact"/>
        <w:rPr>
          <w:rFonts w:cs="Arial"/>
          <w:i/>
          <w:snapToGrid w:val="0"/>
          <w:szCs w:val="19"/>
        </w:rPr>
      </w:pPr>
      <w:r w:rsidRPr="008A6162">
        <w:rPr>
          <w:rFonts w:cs="Arial"/>
          <w:szCs w:val="19"/>
        </w:rPr>
        <w:t xml:space="preserve">Artikel 1 van de Regeling meettarieven bepaalt dat </w:t>
      </w:r>
      <w:r>
        <w:rPr>
          <w:rFonts w:cs="Arial"/>
          <w:szCs w:val="19"/>
        </w:rPr>
        <w:t>de ACM</w:t>
      </w:r>
      <w:r w:rsidRPr="008A6162">
        <w:rPr>
          <w:rFonts w:cs="Arial"/>
          <w:szCs w:val="19"/>
        </w:rPr>
        <w:t xml:space="preserve"> de meettarieven voor elektriciteit vaststelt</w:t>
      </w:r>
      <w:r>
        <w:rPr>
          <w:rFonts w:cs="Arial"/>
          <w:szCs w:val="19"/>
        </w:rPr>
        <w:t xml:space="preserve">: </w:t>
      </w:r>
    </w:p>
    <w:p w14:paraId="31737AA1" w14:textId="782EADF5" w:rsidR="007F7079" w:rsidRPr="008A6162" w:rsidRDefault="007F7079" w:rsidP="00AD6667">
      <w:pPr>
        <w:spacing w:after="240" w:line="300" w:lineRule="exact"/>
        <w:ind w:left="360"/>
        <w:rPr>
          <w:rFonts w:cs="Arial"/>
          <w:i/>
          <w:snapToGrid w:val="0"/>
          <w:szCs w:val="19"/>
        </w:rPr>
      </w:pPr>
      <w:r w:rsidRPr="008A6162">
        <w:rPr>
          <w:rFonts w:cs="Arial"/>
          <w:szCs w:val="19"/>
        </w:rPr>
        <w:t>“</w:t>
      </w:r>
      <w:r w:rsidRPr="008A6162">
        <w:rPr>
          <w:rFonts w:cs="Arial"/>
          <w:i/>
          <w:snapToGrid w:val="0"/>
          <w:szCs w:val="19"/>
        </w:rPr>
        <w:t>op basis van het tarief zoals dat voor die afnemers gold voor het voorafgaande kalender jaar, gecorrigeerd met inflatie.”</w:t>
      </w:r>
    </w:p>
    <w:p w14:paraId="36342DC2" w14:textId="77777777" w:rsidR="007F7079" w:rsidRPr="00BC4A8A" w:rsidRDefault="007F7079" w:rsidP="007F7079">
      <w:pPr>
        <w:numPr>
          <w:ilvl w:val="0"/>
          <w:numId w:val="19"/>
        </w:numPr>
        <w:spacing w:line="300" w:lineRule="exact"/>
        <w:rPr>
          <w:rFonts w:cs="Arial"/>
          <w:i/>
          <w:snapToGrid w:val="0"/>
          <w:szCs w:val="19"/>
        </w:rPr>
      </w:pPr>
      <w:r>
        <w:rPr>
          <w:rFonts w:cs="Arial"/>
          <w:snapToGrid w:val="0"/>
          <w:szCs w:val="19"/>
        </w:rPr>
        <w:t>Artikel 1, tweede lid, van de Regeling meettarieven omschrijft</w:t>
      </w:r>
      <w:r w:rsidRPr="008A6162">
        <w:rPr>
          <w:rFonts w:cs="Arial"/>
          <w:snapToGrid w:val="0"/>
          <w:szCs w:val="19"/>
        </w:rPr>
        <w:t xml:space="preserve"> wat de inflatie is en hoe </w:t>
      </w:r>
      <w:r>
        <w:rPr>
          <w:rFonts w:cs="Arial"/>
          <w:snapToGrid w:val="0"/>
          <w:szCs w:val="19"/>
        </w:rPr>
        <w:t>de ACM deze</w:t>
      </w:r>
      <w:r w:rsidRPr="008A6162">
        <w:rPr>
          <w:rFonts w:cs="Arial"/>
          <w:snapToGrid w:val="0"/>
          <w:szCs w:val="19"/>
        </w:rPr>
        <w:t xml:space="preserve"> </w:t>
      </w:r>
      <w:r>
        <w:rPr>
          <w:rFonts w:cs="Arial"/>
          <w:snapToGrid w:val="0"/>
          <w:szCs w:val="19"/>
        </w:rPr>
        <w:t>dient te berekenen</w:t>
      </w:r>
      <w:r w:rsidRPr="008A6162">
        <w:rPr>
          <w:rFonts w:cs="Arial"/>
          <w:snapToGrid w:val="0"/>
          <w:szCs w:val="19"/>
        </w:rPr>
        <w:t xml:space="preserve">: </w:t>
      </w:r>
    </w:p>
    <w:p w14:paraId="57B1BB6F" w14:textId="1BDF99B9" w:rsidR="007F7079" w:rsidRPr="00AD6667" w:rsidRDefault="007F7079" w:rsidP="00AD6667">
      <w:pPr>
        <w:spacing w:after="240" w:line="300" w:lineRule="exact"/>
        <w:ind w:left="360"/>
        <w:rPr>
          <w:rFonts w:cs="Arial"/>
          <w:i/>
          <w:snapToGrid w:val="0"/>
          <w:szCs w:val="19"/>
        </w:rPr>
      </w:pPr>
      <w:r w:rsidRPr="008A6162">
        <w:rPr>
          <w:rFonts w:cs="Arial"/>
          <w:snapToGrid w:val="0"/>
          <w:szCs w:val="19"/>
        </w:rPr>
        <w:t>“</w:t>
      </w:r>
      <w:r w:rsidRPr="008A6162">
        <w:rPr>
          <w:rFonts w:cs="Arial"/>
          <w:i/>
          <w:snapToGrid w:val="0"/>
          <w:szCs w:val="19"/>
        </w:rPr>
        <w:t>De inflatie is de relatieve wijziging van de consumentenprijsindex (alle huishoudens), berekend uit het quotiënt van deze prijsindex, gepubliceerd in de vierde maand voorafgaand aan het kalender jaar waarvoor het tarief geldt</w:t>
      </w:r>
      <w:r>
        <w:rPr>
          <w:rFonts w:cs="Arial"/>
          <w:i/>
          <w:snapToGrid w:val="0"/>
          <w:szCs w:val="19"/>
        </w:rPr>
        <w:t>,</w:t>
      </w:r>
      <w:r w:rsidRPr="008A6162">
        <w:rPr>
          <w:rFonts w:cs="Arial"/>
          <w:i/>
          <w:snapToGrid w:val="0"/>
          <w:szCs w:val="19"/>
        </w:rPr>
        <w:t xml:space="preserve"> en van deze prijsindex, gepubliceerd in zestiende maand voorafgaande aan het kalender jaar waarvoor het tarief geldt, zoals deze maandelijks wordt vastgesteld door het Centraal Bureau voor de Statistiek.”</w:t>
      </w:r>
    </w:p>
    <w:p w14:paraId="6FE52CB9" w14:textId="6A883D78" w:rsidR="007F7079" w:rsidRPr="00AD6667" w:rsidRDefault="007F7079" w:rsidP="00AD6667">
      <w:pPr>
        <w:numPr>
          <w:ilvl w:val="0"/>
          <w:numId w:val="19"/>
        </w:numPr>
        <w:spacing w:after="240" w:line="300" w:lineRule="exact"/>
        <w:rPr>
          <w:rFonts w:cs="Arial"/>
          <w:szCs w:val="19"/>
        </w:rPr>
      </w:pPr>
      <w:r w:rsidRPr="008A6162">
        <w:rPr>
          <w:rFonts w:cs="Arial"/>
          <w:szCs w:val="19"/>
        </w:rPr>
        <w:t xml:space="preserve">Op grond van deze passage en het voorgaande is </w:t>
      </w:r>
      <w:r>
        <w:rPr>
          <w:rFonts w:cs="Arial"/>
          <w:szCs w:val="19"/>
        </w:rPr>
        <w:t>de ACM</w:t>
      </w:r>
      <w:r w:rsidRPr="008A6162">
        <w:rPr>
          <w:rFonts w:cs="Arial"/>
          <w:szCs w:val="19"/>
        </w:rPr>
        <w:t xml:space="preserve"> van oordeel dat het meettarief voor elektriciteit </w:t>
      </w:r>
      <w:r>
        <w:rPr>
          <w:rFonts w:cs="Arial"/>
          <w:szCs w:val="19"/>
        </w:rPr>
        <w:t>voor 202</w:t>
      </w:r>
      <w:r w:rsidR="00094635">
        <w:rPr>
          <w:rFonts w:cs="Arial"/>
          <w:szCs w:val="19"/>
        </w:rPr>
        <w:t>5</w:t>
      </w:r>
      <w:r w:rsidRPr="008A6162">
        <w:rPr>
          <w:rFonts w:cs="Arial"/>
          <w:szCs w:val="19"/>
        </w:rPr>
        <w:t xml:space="preserve">, voor de doelgroep als beschreven bij randnummer </w:t>
      </w:r>
      <w:r w:rsidR="00102493">
        <w:rPr>
          <w:rFonts w:cs="Arial"/>
          <w:szCs w:val="19"/>
        </w:rPr>
        <w:fldChar w:fldCharType="begin"/>
      </w:r>
      <w:r w:rsidR="00102493">
        <w:rPr>
          <w:rFonts w:cs="Arial"/>
          <w:szCs w:val="19"/>
        </w:rPr>
        <w:instrText xml:space="preserve"> REF _Ref178254295 \r </w:instrText>
      </w:r>
      <w:r w:rsidR="00102493">
        <w:rPr>
          <w:rFonts w:cs="Arial"/>
          <w:szCs w:val="19"/>
        </w:rPr>
        <w:fldChar w:fldCharType="separate"/>
      </w:r>
      <w:r w:rsidR="000B2E20">
        <w:rPr>
          <w:rFonts w:cs="Arial"/>
          <w:szCs w:val="19"/>
        </w:rPr>
        <w:t>17</w:t>
      </w:r>
      <w:r w:rsidR="00102493">
        <w:rPr>
          <w:rFonts w:cs="Arial"/>
          <w:szCs w:val="19"/>
        </w:rPr>
        <w:fldChar w:fldCharType="end"/>
      </w:r>
      <w:r w:rsidRPr="009C791F">
        <w:rPr>
          <w:rFonts w:cs="Arial"/>
          <w:szCs w:val="19"/>
        </w:rPr>
        <w:t>,</w:t>
      </w:r>
      <w:r w:rsidRPr="008A6162">
        <w:rPr>
          <w:rFonts w:cs="Arial"/>
          <w:szCs w:val="19"/>
        </w:rPr>
        <w:t xml:space="preserve"> moet worden gebaseerd op het meettarief voor het jaar </w:t>
      </w:r>
      <w:r w:rsidRPr="00CD6F13">
        <w:rPr>
          <w:rFonts w:cs="Arial"/>
          <w:szCs w:val="19"/>
        </w:rPr>
        <w:t>202</w:t>
      </w:r>
      <w:r w:rsidR="00094635" w:rsidRPr="00CD6F13">
        <w:rPr>
          <w:rFonts w:cs="Arial"/>
          <w:szCs w:val="19"/>
        </w:rPr>
        <w:t>4</w:t>
      </w:r>
      <w:r w:rsidR="00456251">
        <w:rPr>
          <w:rStyle w:val="Voetnootmarkering"/>
          <w:rFonts w:cs="Arial"/>
          <w:szCs w:val="19"/>
        </w:rPr>
        <w:footnoteReference w:id="9"/>
      </w:r>
      <w:r w:rsidRPr="008A6162">
        <w:rPr>
          <w:rFonts w:cs="Arial"/>
          <w:szCs w:val="19"/>
        </w:rPr>
        <w:t xml:space="preserve">, gecorrigeerd voor inflatie op de wijze zoals </w:t>
      </w:r>
      <w:r>
        <w:rPr>
          <w:rFonts w:cs="Arial"/>
          <w:szCs w:val="19"/>
        </w:rPr>
        <w:t>in voorgaand randnummer beschreven</w:t>
      </w:r>
      <w:r w:rsidRPr="008A6162">
        <w:rPr>
          <w:rFonts w:cs="Arial"/>
          <w:szCs w:val="19"/>
        </w:rPr>
        <w:t>.</w:t>
      </w:r>
    </w:p>
    <w:p w14:paraId="63847D94" w14:textId="37484DFB" w:rsidR="007F7079" w:rsidRPr="00AD6667" w:rsidRDefault="007F7079" w:rsidP="007F7079">
      <w:pPr>
        <w:numPr>
          <w:ilvl w:val="0"/>
          <w:numId w:val="19"/>
        </w:numPr>
        <w:spacing w:line="300" w:lineRule="exact"/>
        <w:rPr>
          <w:rFonts w:cs="Arial"/>
          <w:szCs w:val="19"/>
        </w:rPr>
      </w:pPr>
      <w:r w:rsidRPr="00275A58">
        <w:rPr>
          <w:rFonts w:cs="Arial"/>
          <w:szCs w:val="19"/>
        </w:rPr>
        <w:t>In formulevorm:</w:t>
      </w:r>
    </w:p>
    <w:p w14:paraId="6CD28369" w14:textId="77777777" w:rsidR="007F7079" w:rsidRPr="008A6162" w:rsidRDefault="00B5193C" w:rsidP="007F7079">
      <w:pPr>
        <w:spacing w:line="240" w:lineRule="auto"/>
        <w:ind w:left="360"/>
        <w:rPr>
          <w:rFonts w:cs="Arial"/>
          <w:szCs w:val="19"/>
        </w:rPr>
      </w:pPr>
      <m:oMathPara>
        <m:oMathParaPr>
          <m:jc m:val="left"/>
        </m:oMathParaPr>
        <m:oMath>
          <m:sSub>
            <m:sSubPr>
              <m:ctrlPr>
                <w:rPr>
                  <w:rFonts w:ascii="Cambria Math" w:hAnsi="Cambria Math" w:cs="Arial"/>
                  <w:i/>
                  <w:szCs w:val="19"/>
                </w:rPr>
              </m:ctrlPr>
            </m:sSubPr>
            <m:e>
              <m:r>
                <w:rPr>
                  <w:rFonts w:ascii="Cambria Math" w:hAnsi="Cambria Math" w:cs="Arial"/>
                  <w:szCs w:val="19"/>
                </w:rPr>
                <m:t>T</m:t>
              </m:r>
            </m:e>
            <m:sub>
              <m:r>
                <w:rPr>
                  <w:rFonts w:ascii="Cambria Math" w:hAnsi="Cambria Math" w:cs="Arial"/>
                  <w:szCs w:val="19"/>
                </w:rPr>
                <m:t>t</m:t>
              </m:r>
            </m:sub>
          </m:sSub>
          <m:r>
            <w:rPr>
              <w:rFonts w:ascii="Cambria Math" w:hAnsi="Cambria Math" w:cs="Arial"/>
              <w:szCs w:val="19"/>
            </w:rPr>
            <m:t>=</m:t>
          </m:r>
          <m:sSub>
            <m:sSubPr>
              <m:ctrlPr>
                <w:rPr>
                  <w:rFonts w:ascii="Cambria Math" w:hAnsi="Cambria Math" w:cs="Arial"/>
                  <w:i/>
                  <w:szCs w:val="19"/>
                </w:rPr>
              </m:ctrlPr>
            </m:sSubPr>
            <m:e>
              <m:r>
                <w:rPr>
                  <w:rFonts w:ascii="Cambria Math" w:hAnsi="Cambria Math" w:cs="Arial"/>
                  <w:szCs w:val="19"/>
                </w:rPr>
                <m:t>T</m:t>
              </m:r>
            </m:e>
            <m:sub>
              <m:r>
                <w:rPr>
                  <w:rFonts w:ascii="Cambria Math" w:hAnsi="Cambria Math" w:cs="Arial"/>
                  <w:szCs w:val="19"/>
                </w:rPr>
                <m:t>t-1</m:t>
              </m:r>
            </m:sub>
          </m:sSub>
          <m:r>
            <w:rPr>
              <w:rFonts w:ascii="Cambria Math" w:hAnsi="Cambria Math" w:cs="Arial"/>
              <w:szCs w:val="19"/>
            </w:rPr>
            <m:t>∙</m:t>
          </m:r>
          <m:d>
            <m:dPr>
              <m:ctrlPr>
                <w:rPr>
                  <w:rFonts w:ascii="Cambria Math" w:hAnsi="Cambria Math" w:cs="Arial"/>
                  <w:i/>
                  <w:szCs w:val="19"/>
                </w:rPr>
              </m:ctrlPr>
            </m:dPr>
            <m:e>
              <m:f>
                <m:fPr>
                  <m:ctrlPr>
                    <w:rPr>
                      <w:rFonts w:ascii="Cambria Math" w:hAnsi="Cambria Math" w:cs="Arial"/>
                      <w:i/>
                      <w:szCs w:val="19"/>
                    </w:rPr>
                  </m:ctrlPr>
                </m:fPr>
                <m:num>
                  <m:sSub>
                    <m:sSubPr>
                      <m:ctrlPr>
                        <w:rPr>
                          <w:rFonts w:ascii="Cambria Math" w:hAnsi="Cambria Math" w:cs="Arial"/>
                          <w:i/>
                          <w:szCs w:val="19"/>
                        </w:rPr>
                      </m:ctrlPr>
                    </m:sSubPr>
                    <m:e>
                      <m:r>
                        <w:rPr>
                          <w:rFonts w:ascii="Cambria Math" w:hAnsi="Cambria Math" w:cs="Arial"/>
                          <w:szCs w:val="19"/>
                        </w:rPr>
                        <m:t>cpi</m:t>
                      </m:r>
                    </m:e>
                    <m:sub>
                      <m:r>
                        <w:rPr>
                          <w:rFonts w:ascii="Cambria Math" w:hAnsi="Cambria Math" w:cs="Arial"/>
                          <w:szCs w:val="19"/>
                        </w:rPr>
                        <m:t>t-1</m:t>
                      </m:r>
                    </m:sub>
                  </m:sSub>
                </m:num>
                <m:den>
                  <m:sSub>
                    <m:sSubPr>
                      <m:ctrlPr>
                        <w:rPr>
                          <w:rFonts w:ascii="Cambria Math" w:hAnsi="Cambria Math" w:cs="Arial"/>
                          <w:i/>
                          <w:szCs w:val="19"/>
                        </w:rPr>
                      </m:ctrlPr>
                    </m:sSubPr>
                    <m:e>
                      <m:r>
                        <w:rPr>
                          <w:rFonts w:ascii="Cambria Math" w:hAnsi="Cambria Math" w:cs="Arial"/>
                          <w:szCs w:val="19"/>
                        </w:rPr>
                        <m:t>cpi</m:t>
                      </m:r>
                    </m:e>
                    <m:sub>
                      <m:r>
                        <w:rPr>
                          <w:rFonts w:ascii="Cambria Math" w:hAnsi="Cambria Math" w:cs="Arial"/>
                          <w:szCs w:val="19"/>
                        </w:rPr>
                        <m:t>t-2</m:t>
                      </m:r>
                    </m:sub>
                  </m:sSub>
                </m:den>
              </m:f>
            </m:e>
          </m:d>
        </m:oMath>
      </m:oMathPara>
    </w:p>
    <w:p w14:paraId="63083B85" w14:textId="77777777" w:rsidR="007F7079" w:rsidRPr="008A6162" w:rsidRDefault="007F7079" w:rsidP="007F7079">
      <w:pPr>
        <w:spacing w:line="240" w:lineRule="auto"/>
        <w:ind w:left="360"/>
        <w:rPr>
          <w:rFonts w:cs="Arial"/>
          <w:szCs w:val="19"/>
        </w:rPr>
      </w:pPr>
    </w:p>
    <w:p w14:paraId="4DE03834" w14:textId="77777777" w:rsidR="007F7079" w:rsidRPr="008A6162" w:rsidRDefault="007F7079" w:rsidP="007F7079">
      <w:pPr>
        <w:ind w:left="357"/>
        <w:rPr>
          <w:rFonts w:cs="Arial"/>
          <w:szCs w:val="19"/>
        </w:rPr>
      </w:pPr>
      <w:r w:rsidRPr="008A6162">
        <w:rPr>
          <w:rFonts w:cs="Arial"/>
          <w:szCs w:val="19"/>
        </w:rPr>
        <w:t>waarbij</w:t>
      </w:r>
    </w:p>
    <w:p w14:paraId="2DD90965" w14:textId="77777777" w:rsidR="007F7079" w:rsidRPr="008A6162" w:rsidRDefault="007F7079" w:rsidP="007F7079">
      <w:pPr>
        <w:ind w:left="357"/>
        <w:rPr>
          <w:rFonts w:cs="Arial"/>
          <w:szCs w:val="19"/>
        </w:rPr>
      </w:pPr>
      <w:r w:rsidRPr="008A6162">
        <w:rPr>
          <w:rFonts w:cs="Arial"/>
          <w:szCs w:val="19"/>
        </w:rPr>
        <w:br/>
      </w:r>
      <m:oMath>
        <m:sSub>
          <m:sSubPr>
            <m:ctrlPr>
              <w:rPr>
                <w:rFonts w:ascii="Cambria Math" w:hAnsi="Cambria Math" w:cs="Arial"/>
                <w:i/>
                <w:szCs w:val="19"/>
              </w:rPr>
            </m:ctrlPr>
          </m:sSubPr>
          <m:e>
            <m:r>
              <w:rPr>
                <w:rFonts w:ascii="Cambria Math" w:hAnsi="Cambria Math" w:cs="Arial"/>
                <w:szCs w:val="19"/>
              </w:rPr>
              <m:t>T</m:t>
            </m:r>
          </m:e>
          <m:sub>
            <m:r>
              <w:rPr>
                <w:rFonts w:ascii="Cambria Math" w:hAnsi="Cambria Math" w:cs="Arial"/>
                <w:szCs w:val="19"/>
              </w:rPr>
              <m:t>t</m:t>
            </m:r>
          </m:sub>
        </m:sSub>
      </m:oMath>
      <w:r w:rsidRPr="008A6162">
        <w:rPr>
          <w:rFonts w:cs="Arial"/>
          <w:szCs w:val="19"/>
        </w:rPr>
        <w:tab/>
      </w:r>
      <w:r w:rsidRPr="008A6162">
        <w:rPr>
          <w:rFonts w:cs="Arial"/>
          <w:szCs w:val="19"/>
        </w:rPr>
        <w:tab/>
        <w:t xml:space="preserve">Het meettarief voor kleinverbruikers in jaar </w:t>
      </w:r>
      <w:r w:rsidRPr="008A6162">
        <w:rPr>
          <w:rFonts w:cs="Arial"/>
          <w:i/>
          <w:szCs w:val="19"/>
        </w:rPr>
        <w:t>t</w:t>
      </w:r>
    </w:p>
    <w:p w14:paraId="7A4A2DBF" w14:textId="77777777" w:rsidR="007F7079" w:rsidRPr="008A6162" w:rsidRDefault="00B5193C" w:rsidP="007F7079">
      <w:pPr>
        <w:ind w:left="357"/>
        <w:rPr>
          <w:rFonts w:cs="Arial"/>
          <w:szCs w:val="19"/>
        </w:rPr>
      </w:pPr>
      <m:oMath>
        <m:sSub>
          <m:sSubPr>
            <m:ctrlPr>
              <w:rPr>
                <w:rFonts w:ascii="Cambria Math" w:hAnsi="Cambria Math" w:cs="Arial"/>
                <w:i/>
                <w:szCs w:val="19"/>
              </w:rPr>
            </m:ctrlPr>
          </m:sSubPr>
          <m:e>
            <m:r>
              <w:rPr>
                <w:rFonts w:ascii="Cambria Math" w:hAnsi="Cambria Math" w:cs="Arial"/>
                <w:szCs w:val="19"/>
              </w:rPr>
              <m:t>T</m:t>
            </m:r>
          </m:e>
          <m:sub>
            <m:r>
              <w:rPr>
                <w:rFonts w:ascii="Cambria Math" w:hAnsi="Cambria Math" w:cs="Arial"/>
                <w:szCs w:val="19"/>
              </w:rPr>
              <m:t>t-1</m:t>
            </m:r>
          </m:sub>
        </m:sSub>
      </m:oMath>
      <w:r w:rsidR="007F7079" w:rsidRPr="008A6162">
        <w:rPr>
          <w:rFonts w:cs="Arial"/>
          <w:szCs w:val="19"/>
        </w:rPr>
        <w:tab/>
      </w:r>
      <w:r w:rsidR="007F7079">
        <w:rPr>
          <w:rFonts w:cs="Arial"/>
          <w:szCs w:val="19"/>
        </w:rPr>
        <w:t xml:space="preserve"> </w:t>
      </w:r>
      <w:r w:rsidR="007F7079">
        <w:rPr>
          <w:rFonts w:cs="Arial"/>
          <w:szCs w:val="19"/>
        </w:rPr>
        <w:tab/>
      </w:r>
      <w:r w:rsidR="007F7079" w:rsidRPr="008A6162">
        <w:rPr>
          <w:rFonts w:cs="Arial"/>
          <w:szCs w:val="19"/>
        </w:rPr>
        <w:t xml:space="preserve">Het meettarief voor kleinverbruikers in jaar </w:t>
      </w:r>
      <w:r w:rsidR="007F7079" w:rsidRPr="008A6162">
        <w:rPr>
          <w:rFonts w:cs="Arial"/>
          <w:i/>
          <w:szCs w:val="19"/>
        </w:rPr>
        <w:t>t-1</w:t>
      </w:r>
    </w:p>
    <w:p w14:paraId="0AC9F239" w14:textId="54BB49B1" w:rsidR="007F7079" w:rsidRPr="008A6162" w:rsidRDefault="00B5193C" w:rsidP="007F7079">
      <w:pPr>
        <w:ind w:left="357"/>
        <w:rPr>
          <w:rFonts w:cs="Arial"/>
          <w:szCs w:val="19"/>
        </w:rPr>
      </w:pPr>
      <m:oMath>
        <m:sSub>
          <m:sSubPr>
            <m:ctrlPr>
              <w:rPr>
                <w:rFonts w:ascii="Cambria Math" w:hAnsi="Cambria Math" w:cs="Arial"/>
                <w:i/>
                <w:szCs w:val="19"/>
              </w:rPr>
            </m:ctrlPr>
          </m:sSubPr>
          <m:e>
            <m:r>
              <w:rPr>
                <w:rFonts w:ascii="Cambria Math" w:hAnsi="Cambria Math" w:cs="Arial"/>
                <w:szCs w:val="19"/>
              </w:rPr>
              <m:t>cpi</m:t>
            </m:r>
          </m:e>
          <m:sub>
            <m:r>
              <w:rPr>
                <w:rFonts w:ascii="Cambria Math" w:hAnsi="Cambria Math" w:cs="Arial"/>
                <w:szCs w:val="19"/>
              </w:rPr>
              <m:t>t-1</m:t>
            </m:r>
          </m:sub>
        </m:sSub>
      </m:oMath>
      <w:r w:rsidR="007F7079" w:rsidRPr="008A6162">
        <w:rPr>
          <w:rFonts w:cs="Arial"/>
          <w:szCs w:val="19"/>
        </w:rPr>
        <w:tab/>
        <w:t xml:space="preserve">De consumentenprijsindex van augustus in jaar </w:t>
      </w:r>
      <w:r w:rsidR="007F7079" w:rsidRPr="008A6162">
        <w:rPr>
          <w:rFonts w:cs="Arial"/>
          <w:i/>
          <w:szCs w:val="19"/>
        </w:rPr>
        <w:t>t-1</w:t>
      </w:r>
      <w:r w:rsidR="00787714" w:rsidRPr="008A6162">
        <w:rPr>
          <w:szCs w:val="19"/>
          <w:vertAlign w:val="superscript"/>
        </w:rPr>
        <w:footnoteReference w:id="10"/>
      </w:r>
    </w:p>
    <w:p w14:paraId="393DCD78" w14:textId="0617120E" w:rsidR="007F7079" w:rsidRPr="00AD6667" w:rsidRDefault="00B5193C" w:rsidP="00AD6667">
      <w:pPr>
        <w:spacing w:after="240"/>
        <w:ind w:left="357"/>
        <w:rPr>
          <w:rFonts w:cs="Arial"/>
          <w:szCs w:val="19"/>
        </w:rPr>
      </w:pPr>
      <m:oMath>
        <m:sSub>
          <m:sSubPr>
            <m:ctrlPr>
              <w:rPr>
                <w:rFonts w:ascii="Cambria Math" w:hAnsi="Cambria Math" w:cs="Arial"/>
                <w:i/>
                <w:szCs w:val="19"/>
              </w:rPr>
            </m:ctrlPr>
          </m:sSubPr>
          <m:e>
            <m:r>
              <w:rPr>
                <w:rFonts w:ascii="Cambria Math" w:hAnsi="Cambria Math" w:cs="Arial"/>
                <w:szCs w:val="19"/>
              </w:rPr>
              <m:t>cpi</m:t>
            </m:r>
          </m:e>
          <m:sub>
            <m:r>
              <w:rPr>
                <w:rFonts w:ascii="Cambria Math" w:hAnsi="Cambria Math" w:cs="Arial"/>
                <w:szCs w:val="19"/>
              </w:rPr>
              <m:t>t-2</m:t>
            </m:r>
          </m:sub>
        </m:sSub>
      </m:oMath>
      <w:r w:rsidR="007F7079" w:rsidRPr="008A6162">
        <w:rPr>
          <w:rFonts w:cs="Arial"/>
          <w:szCs w:val="19"/>
        </w:rPr>
        <w:tab/>
        <w:t xml:space="preserve">De consumentenprijsindex van augustus in jaar </w:t>
      </w:r>
      <w:r w:rsidR="007F7079" w:rsidRPr="008A6162">
        <w:rPr>
          <w:rFonts w:cs="Arial"/>
          <w:i/>
          <w:szCs w:val="19"/>
        </w:rPr>
        <w:t>t-</w:t>
      </w:r>
      <w:r w:rsidR="007F7079" w:rsidRPr="00BD4616">
        <w:rPr>
          <w:rFonts w:cs="Arial"/>
          <w:i/>
          <w:szCs w:val="19"/>
        </w:rPr>
        <w:t>2</w:t>
      </w:r>
      <w:r w:rsidR="00787714" w:rsidRPr="00BD4616">
        <w:rPr>
          <w:szCs w:val="19"/>
          <w:vertAlign w:val="superscript"/>
        </w:rPr>
        <w:footnoteReference w:id="11"/>
      </w:r>
    </w:p>
    <w:p w14:paraId="0BCE2F68" w14:textId="511AA41F" w:rsidR="007F7079" w:rsidRPr="00AD6667" w:rsidRDefault="007F7079" w:rsidP="00AD6667">
      <w:pPr>
        <w:numPr>
          <w:ilvl w:val="0"/>
          <w:numId w:val="19"/>
        </w:numPr>
        <w:tabs>
          <w:tab w:val="left" w:pos="851"/>
        </w:tabs>
        <w:spacing w:after="240" w:line="300" w:lineRule="exact"/>
        <w:rPr>
          <w:rFonts w:cs="Arial"/>
          <w:szCs w:val="19"/>
        </w:rPr>
      </w:pPr>
      <w:r w:rsidRPr="008A6162">
        <w:rPr>
          <w:rFonts w:cs="Arial"/>
          <w:szCs w:val="19"/>
        </w:rPr>
        <w:t xml:space="preserve">Dit leidt tot het volgende meettarief elektriciteit per 1 januari </w:t>
      </w:r>
      <w:r>
        <w:rPr>
          <w:rFonts w:cs="Arial"/>
          <w:szCs w:val="19"/>
        </w:rPr>
        <w:t>202</w:t>
      </w:r>
      <w:r w:rsidR="005B4DAE">
        <w:rPr>
          <w:rFonts w:cs="Arial"/>
          <w:szCs w:val="19"/>
        </w:rPr>
        <w:t>5</w:t>
      </w:r>
      <w:r w:rsidRPr="008A6162">
        <w:rPr>
          <w:rFonts w:cs="Arial"/>
          <w:szCs w:val="19"/>
        </w:rPr>
        <w:t xml:space="preserve">: </w:t>
      </w:r>
    </w:p>
    <w:p w14:paraId="7FFD5BA7" w14:textId="120D03E2" w:rsidR="007F7079" w:rsidRPr="008A6162" w:rsidRDefault="00B5193C" w:rsidP="007F7079">
      <w:pPr>
        <w:spacing w:line="240" w:lineRule="auto"/>
        <w:ind w:left="360"/>
        <w:rPr>
          <w:rFonts w:cs="Arial"/>
          <w:szCs w:val="19"/>
        </w:rPr>
      </w:pPr>
      <m:oMathPara>
        <m:oMathParaPr>
          <m:jc m:val="left"/>
        </m:oMathParaPr>
        <m:oMath>
          <m:sSub>
            <m:sSubPr>
              <m:ctrlPr>
                <w:rPr>
                  <w:rFonts w:ascii="Cambria Math" w:hAnsi="Cambria Math" w:cs="Arial"/>
                  <w:i/>
                  <w:szCs w:val="19"/>
                </w:rPr>
              </m:ctrlPr>
            </m:sSubPr>
            <m:e>
              <m:r>
                <w:rPr>
                  <w:rFonts w:ascii="Cambria Math" w:hAnsi="Cambria Math" w:cs="Arial"/>
                  <w:szCs w:val="19"/>
                </w:rPr>
                <m:t>T</m:t>
              </m:r>
            </m:e>
            <m:sub>
              <m:r>
                <w:rPr>
                  <w:rFonts w:ascii="Cambria Math" w:hAnsi="Cambria Math" w:cs="Arial"/>
                  <w:szCs w:val="19"/>
                </w:rPr>
                <m:t>2025</m:t>
              </m:r>
            </m:sub>
          </m:sSub>
          <m:r>
            <w:rPr>
              <w:rFonts w:ascii="Cambria Math" w:hAnsi="Cambria Math" w:cs="Arial"/>
              <w:szCs w:val="19"/>
            </w:rPr>
            <m:t>=EUR 35,79  ∙</m:t>
          </m:r>
          <m:d>
            <m:dPr>
              <m:ctrlPr>
                <w:rPr>
                  <w:rFonts w:ascii="Cambria Math" w:hAnsi="Cambria Math" w:cs="Arial"/>
                  <w:i/>
                  <w:szCs w:val="19"/>
                </w:rPr>
              </m:ctrlPr>
            </m:dPr>
            <m:e>
              <m:f>
                <m:fPr>
                  <m:ctrlPr>
                    <w:rPr>
                      <w:rFonts w:ascii="Cambria Math" w:hAnsi="Cambria Math" w:cs="Arial"/>
                      <w:i/>
                      <w:szCs w:val="19"/>
                    </w:rPr>
                  </m:ctrlPr>
                </m:fPr>
                <m:num>
                  <m:r>
                    <w:rPr>
                      <w:rFonts w:ascii="Cambria Math" w:hAnsi="Cambria Math" w:cs="Arial"/>
                      <w:szCs w:val="19"/>
                    </w:rPr>
                    <m:t>132,24</m:t>
                  </m:r>
                </m:num>
                <m:den>
                  <m:r>
                    <w:rPr>
                      <w:rFonts w:ascii="Cambria Math" w:hAnsi="Cambria Math" w:cs="Arial"/>
                      <w:szCs w:val="19"/>
                    </w:rPr>
                    <m:t>127,70</m:t>
                  </m:r>
                </m:den>
              </m:f>
            </m:e>
          </m:d>
          <m:r>
            <w:rPr>
              <w:rFonts w:ascii="Cambria Math" w:hAnsi="Cambria Math" w:cs="Arial"/>
              <w:szCs w:val="19"/>
            </w:rPr>
            <m:t xml:space="preserve">=EUR </m:t>
          </m:r>
          <w:bookmarkStart w:id="8" w:name="OLE_LINK4"/>
          <m:r>
            <w:rPr>
              <w:rFonts w:ascii="Cambria Math" w:hAnsi="Cambria Math" w:cs="Arial"/>
              <w:szCs w:val="19"/>
            </w:rPr>
            <m:t xml:space="preserve">37,06 </m:t>
          </m:r>
          <w:bookmarkEnd w:id="8"/>
          <m:r>
            <w:rPr>
              <w:rFonts w:ascii="Cambria Math" w:hAnsi="Cambria Math" w:cs="Arial"/>
              <w:szCs w:val="19"/>
            </w:rPr>
            <m:t>excl. BTW</m:t>
          </m:r>
        </m:oMath>
      </m:oMathPara>
    </w:p>
    <w:p w14:paraId="69B24CDA" w14:textId="77777777" w:rsidR="00935842" w:rsidRPr="00700598" w:rsidRDefault="00935842" w:rsidP="00700598"/>
    <w:p w14:paraId="5EA1EEE1" w14:textId="77777777" w:rsidR="00492DE9" w:rsidRDefault="00492DE9" w:rsidP="00E1395B"/>
    <w:p w14:paraId="05560748" w14:textId="77777777" w:rsidR="00492DE9" w:rsidRDefault="00D55393">
      <w:r>
        <w:br w:type="page"/>
      </w:r>
    </w:p>
    <w:p w14:paraId="33BC8D22" w14:textId="73024601" w:rsidR="001A69FD" w:rsidRPr="00F5155F" w:rsidRDefault="001A69FD" w:rsidP="00F5155F">
      <w:pPr>
        <w:pStyle w:val="Kop1"/>
      </w:pPr>
      <w:r w:rsidRPr="009C791F">
        <w:lastRenderedPageBreak/>
        <w:t>D</w:t>
      </w:r>
      <w:bookmarkStart w:id="9" w:name="_Toc240948745"/>
      <w:r w:rsidRPr="009C791F">
        <w:t>ictum</w:t>
      </w:r>
      <w:bookmarkEnd w:id="9"/>
      <w:r w:rsidRPr="009C791F">
        <w:t xml:space="preserve"> </w:t>
      </w:r>
    </w:p>
    <w:p w14:paraId="1C9DF708" w14:textId="0951F866" w:rsidR="001A69FD" w:rsidRPr="00F5155F" w:rsidRDefault="001A69FD" w:rsidP="00F5155F">
      <w:pPr>
        <w:numPr>
          <w:ilvl w:val="0"/>
          <w:numId w:val="19"/>
        </w:numPr>
        <w:tabs>
          <w:tab w:val="left" w:pos="851"/>
          <w:tab w:val="left" w:pos="2381"/>
          <w:tab w:val="left" w:pos="4763"/>
          <w:tab w:val="left" w:pos="7088"/>
        </w:tabs>
        <w:spacing w:after="240" w:line="300" w:lineRule="exact"/>
        <w:rPr>
          <w:rFonts w:cs="Arial"/>
          <w:szCs w:val="19"/>
        </w:rPr>
      </w:pPr>
      <w:r w:rsidRPr="008A6162">
        <w:rPr>
          <w:rFonts w:cs="Arial"/>
          <w:szCs w:val="19"/>
        </w:rPr>
        <w:t xml:space="preserve">Het voorgaande overwegende, stelt </w:t>
      </w:r>
      <w:r>
        <w:rPr>
          <w:rFonts w:cs="Arial"/>
          <w:szCs w:val="19"/>
        </w:rPr>
        <w:t>de ACM</w:t>
      </w:r>
      <w:r w:rsidRPr="008A6162">
        <w:rPr>
          <w:rFonts w:cs="Arial"/>
          <w:szCs w:val="19"/>
        </w:rPr>
        <w:t xml:space="preserve"> op grond van artikel 40a van de Elektriciteitswet 1998 het volgende maximum meettarief elektriciteit met ingang van 1 januari </w:t>
      </w:r>
      <w:r>
        <w:rPr>
          <w:rFonts w:cs="Arial"/>
          <w:szCs w:val="19"/>
        </w:rPr>
        <w:t>202</w:t>
      </w:r>
      <w:r w:rsidR="00094635">
        <w:rPr>
          <w:rFonts w:cs="Arial"/>
          <w:szCs w:val="19"/>
        </w:rPr>
        <w:t>5</w:t>
      </w:r>
      <w:r w:rsidRPr="008A6162">
        <w:rPr>
          <w:rFonts w:cs="Arial"/>
          <w:szCs w:val="19"/>
        </w:rPr>
        <w:t xml:space="preserve"> vast voor alle door regionale netbeheerders elektriciteit beheerde </w:t>
      </w:r>
      <w:proofErr w:type="spellStart"/>
      <w:r w:rsidRPr="008A6162">
        <w:rPr>
          <w:rFonts w:cs="Arial"/>
          <w:szCs w:val="19"/>
        </w:rPr>
        <w:t>kleinverbruikmeters</w:t>
      </w:r>
      <w:proofErr w:type="spellEnd"/>
      <w:r w:rsidRPr="008A6162">
        <w:rPr>
          <w:rFonts w:cs="Arial"/>
          <w:szCs w:val="19"/>
        </w:rPr>
        <w:t>:</w:t>
      </w:r>
    </w:p>
    <w:p w14:paraId="731ABAB4" w14:textId="77777777" w:rsidR="001A69FD" w:rsidRPr="008A6162" w:rsidRDefault="001A69FD" w:rsidP="001A69FD">
      <w:pPr>
        <w:pBdr>
          <w:top w:val="single" w:sz="4" w:space="1" w:color="auto"/>
          <w:left w:val="single" w:sz="4" w:space="4" w:color="auto"/>
          <w:bottom w:val="single" w:sz="4" w:space="1" w:color="auto"/>
          <w:right w:val="single" w:sz="4" w:space="4" w:color="auto"/>
        </w:pBdr>
        <w:tabs>
          <w:tab w:val="left" w:pos="851"/>
        </w:tabs>
        <w:ind w:left="360"/>
        <w:rPr>
          <w:rFonts w:cs="Arial"/>
          <w:szCs w:val="19"/>
        </w:rPr>
      </w:pPr>
      <w:r w:rsidRPr="008A6162">
        <w:rPr>
          <w:rFonts w:cs="Arial"/>
          <w:szCs w:val="19"/>
        </w:rPr>
        <w:t xml:space="preserve">Meettarief </w:t>
      </w:r>
      <w:proofErr w:type="spellStart"/>
      <w:r w:rsidRPr="008A6162">
        <w:rPr>
          <w:rFonts w:cs="Arial"/>
          <w:szCs w:val="19"/>
        </w:rPr>
        <w:t>kleinverbruikmeters</w:t>
      </w:r>
      <w:proofErr w:type="spellEnd"/>
      <w:r w:rsidRPr="008A6162">
        <w:rPr>
          <w:rFonts w:cs="Arial"/>
          <w:szCs w:val="19"/>
        </w:rPr>
        <w:t xml:space="preserve"> elektriciteit (1- en 3-fase; enkel en dubbel):</w:t>
      </w:r>
    </w:p>
    <w:p w14:paraId="5A4ED70C" w14:textId="0269031F" w:rsidR="001A69FD" w:rsidRPr="00F5155F" w:rsidRDefault="001A69FD" w:rsidP="00F5155F">
      <w:pPr>
        <w:pBdr>
          <w:top w:val="single" w:sz="4" w:space="1" w:color="auto"/>
          <w:left w:val="single" w:sz="4" w:space="4" w:color="auto"/>
          <w:bottom w:val="single" w:sz="4" w:space="1" w:color="auto"/>
          <w:right w:val="single" w:sz="4" w:space="4" w:color="auto"/>
        </w:pBdr>
        <w:tabs>
          <w:tab w:val="left" w:pos="851"/>
        </w:tabs>
        <w:spacing w:after="240"/>
        <w:ind w:left="360"/>
        <w:rPr>
          <w:rFonts w:cs="Arial"/>
          <w:b/>
          <w:szCs w:val="19"/>
        </w:rPr>
      </w:pPr>
      <w:r w:rsidRPr="00042D19">
        <w:rPr>
          <w:rFonts w:cs="Arial"/>
          <w:b/>
          <w:szCs w:val="19"/>
        </w:rPr>
        <w:t xml:space="preserve">EUR </w:t>
      </w:r>
      <w:r w:rsidR="00C71D79" w:rsidRPr="00042D19">
        <w:rPr>
          <w:rFonts w:cs="Arial"/>
          <w:b/>
          <w:szCs w:val="19"/>
        </w:rPr>
        <w:t>3</w:t>
      </w:r>
      <w:r w:rsidR="000B3B56" w:rsidRPr="00042D19">
        <w:rPr>
          <w:rFonts w:cs="Arial"/>
          <w:b/>
          <w:szCs w:val="19"/>
        </w:rPr>
        <w:t>7</w:t>
      </w:r>
      <w:r w:rsidR="00C71D79" w:rsidRPr="00042D19">
        <w:rPr>
          <w:rFonts w:cs="Arial"/>
          <w:b/>
          <w:szCs w:val="19"/>
        </w:rPr>
        <w:t>,</w:t>
      </w:r>
      <w:r w:rsidR="000B3B56" w:rsidRPr="00042D19">
        <w:rPr>
          <w:rFonts w:cs="Arial"/>
          <w:b/>
          <w:szCs w:val="19"/>
        </w:rPr>
        <w:t>0</w:t>
      </w:r>
      <w:r w:rsidR="00C32E7F" w:rsidRPr="00042D19">
        <w:rPr>
          <w:rFonts w:cs="Arial"/>
          <w:b/>
          <w:szCs w:val="19"/>
        </w:rPr>
        <w:t>6</w:t>
      </w:r>
      <w:r w:rsidR="00C71D79" w:rsidRPr="00042D19">
        <w:rPr>
          <w:rFonts w:cs="Arial"/>
          <w:b/>
          <w:szCs w:val="19"/>
        </w:rPr>
        <w:t xml:space="preserve"> </w:t>
      </w:r>
      <w:r w:rsidRPr="00042D19">
        <w:rPr>
          <w:rFonts w:cs="Arial"/>
          <w:b/>
          <w:szCs w:val="19"/>
        </w:rPr>
        <w:t>(exclusief BTW)</w:t>
      </w:r>
    </w:p>
    <w:p w14:paraId="1D9CD86E" w14:textId="77777777" w:rsidR="001A69FD" w:rsidRPr="008A6162" w:rsidRDefault="001A69FD" w:rsidP="001A69FD">
      <w:pPr>
        <w:numPr>
          <w:ilvl w:val="0"/>
          <w:numId w:val="19"/>
        </w:numPr>
        <w:tabs>
          <w:tab w:val="left" w:pos="851"/>
          <w:tab w:val="left" w:pos="2381"/>
          <w:tab w:val="left" w:pos="4763"/>
          <w:tab w:val="left" w:pos="7088"/>
        </w:tabs>
        <w:spacing w:line="300" w:lineRule="exact"/>
        <w:rPr>
          <w:rFonts w:cs="Arial"/>
          <w:szCs w:val="19"/>
        </w:rPr>
      </w:pPr>
      <w:r w:rsidRPr="008A6162">
        <w:rPr>
          <w:rFonts w:cs="Arial"/>
          <w:szCs w:val="19"/>
        </w:rPr>
        <w:t xml:space="preserve">Van dit besluit wordt mededeling gedaan in de Staatscourant. Voorts publiceert </w:t>
      </w:r>
      <w:r>
        <w:rPr>
          <w:rFonts w:cs="Arial"/>
          <w:szCs w:val="19"/>
        </w:rPr>
        <w:t>de ACM</w:t>
      </w:r>
      <w:r w:rsidRPr="008A6162">
        <w:rPr>
          <w:rFonts w:cs="Arial"/>
          <w:szCs w:val="19"/>
        </w:rPr>
        <w:t xml:space="preserve"> dit besluit op haar internetpagina. </w:t>
      </w:r>
    </w:p>
    <w:p w14:paraId="2527AB1C" w14:textId="77777777" w:rsidR="001A69FD" w:rsidRPr="008A6162" w:rsidRDefault="001A69FD" w:rsidP="001A69FD">
      <w:pPr>
        <w:tabs>
          <w:tab w:val="left" w:pos="851"/>
        </w:tabs>
        <w:rPr>
          <w:rFonts w:cs="Arial"/>
          <w:szCs w:val="19"/>
        </w:rPr>
      </w:pPr>
    </w:p>
    <w:p w14:paraId="7DDC1F05" w14:textId="77777777" w:rsidR="001A69FD" w:rsidRPr="008A6162" w:rsidRDefault="001A69FD" w:rsidP="001A69FD">
      <w:pPr>
        <w:rPr>
          <w:rFonts w:cs="Arial"/>
          <w:szCs w:val="19"/>
        </w:rPr>
      </w:pPr>
    </w:p>
    <w:p w14:paraId="009EF875" w14:textId="77777777" w:rsidR="001A69FD" w:rsidRPr="008A6162" w:rsidRDefault="001A69FD" w:rsidP="001A69FD">
      <w:pPr>
        <w:rPr>
          <w:rFonts w:cs="Arial"/>
          <w:szCs w:val="19"/>
        </w:rPr>
      </w:pPr>
      <w:r w:rsidRPr="008A6162">
        <w:rPr>
          <w:rFonts w:cs="Arial"/>
          <w:szCs w:val="19"/>
        </w:rPr>
        <w:t xml:space="preserve">Den Haag, </w:t>
      </w:r>
    </w:p>
    <w:p w14:paraId="6DAE5ADF" w14:textId="138616E1" w:rsidR="001A69FD" w:rsidRPr="008A6162" w:rsidRDefault="001A69FD" w:rsidP="001A69FD">
      <w:pPr>
        <w:rPr>
          <w:rFonts w:cs="Arial"/>
          <w:szCs w:val="19"/>
        </w:rPr>
      </w:pPr>
      <w:r w:rsidRPr="00AC7A32">
        <w:rPr>
          <w:rFonts w:cs="Arial"/>
          <w:szCs w:val="19"/>
        </w:rPr>
        <w:t xml:space="preserve">Datum: </w:t>
      </w:r>
      <w:r w:rsidR="00296A76" w:rsidRPr="00AC7A32">
        <w:rPr>
          <w:rFonts w:cs="Arial"/>
          <w:szCs w:val="19"/>
        </w:rPr>
        <w:t>22 november</w:t>
      </w:r>
      <w:r w:rsidR="00042D19">
        <w:rPr>
          <w:rFonts w:cs="Arial"/>
          <w:szCs w:val="19"/>
        </w:rPr>
        <w:t xml:space="preserve"> 2024</w:t>
      </w:r>
    </w:p>
    <w:p w14:paraId="54E109F5" w14:textId="77777777" w:rsidR="001A69FD" w:rsidRPr="008A6162" w:rsidRDefault="001A69FD" w:rsidP="001A69FD">
      <w:pPr>
        <w:rPr>
          <w:rFonts w:cs="Arial"/>
          <w:szCs w:val="19"/>
        </w:rPr>
      </w:pPr>
    </w:p>
    <w:p w14:paraId="5847E56D" w14:textId="77777777" w:rsidR="001A69FD" w:rsidRPr="008A6162" w:rsidRDefault="001A69FD" w:rsidP="001A69FD">
      <w:pPr>
        <w:rPr>
          <w:rFonts w:cs="Arial"/>
          <w:szCs w:val="19"/>
        </w:rPr>
      </w:pPr>
      <w:r w:rsidRPr="008A6162">
        <w:rPr>
          <w:rFonts w:cs="Arial"/>
          <w:szCs w:val="19"/>
        </w:rPr>
        <w:t>Autoriteit Consument en Markt</w:t>
      </w:r>
    </w:p>
    <w:p w14:paraId="5939763D" w14:textId="77777777" w:rsidR="001A69FD" w:rsidRPr="008A6162" w:rsidRDefault="001A69FD" w:rsidP="001A69FD">
      <w:pPr>
        <w:rPr>
          <w:rFonts w:cs="Arial"/>
          <w:szCs w:val="19"/>
        </w:rPr>
      </w:pPr>
      <w:r w:rsidRPr="008A6162">
        <w:rPr>
          <w:rFonts w:cs="Arial"/>
          <w:szCs w:val="19"/>
        </w:rPr>
        <w:t>Namens deze,</w:t>
      </w:r>
    </w:p>
    <w:p w14:paraId="0C79F4BB" w14:textId="77777777" w:rsidR="001A69FD" w:rsidRPr="008A6162" w:rsidRDefault="001A69FD" w:rsidP="001A69FD">
      <w:pPr>
        <w:rPr>
          <w:rFonts w:cs="Arial"/>
          <w:szCs w:val="19"/>
        </w:rPr>
      </w:pPr>
    </w:p>
    <w:p w14:paraId="3DAE52FF" w14:textId="77777777" w:rsidR="001A69FD" w:rsidRDefault="001A69FD" w:rsidP="001A69FD">
      <w:pPr>
        <w:rPr>
          <w:rFonts w:cs="Arial"/>
          <w:szCs w:val="19"/>
        </w:rPr>
      </w:pPr>
    </w:p>
    <w:p w14:paraId="63B2C8CA" w14:textId="5156AA04" w:rsidR="001A69FD" w:rsidRPr="008A6162" w:rsidRDefault="001A69FD" w:rsidP="001A69FD">
      <w:pPr>
        <w:rPr>
          <w:rFonts w:cs="Arial"/>
          <w:szCs w:val="19"/>
        </w:rPr>
      </w:pPr>
    </w:p>
    <w:p w14:paraId="70E11287" w14:textId="77777777" w:rsidR="00F96B7D" w:rsidRDefault="00F96B7D" w:rsidP="00F96B7D">
      <w:pPr>
        <w:rPr>
          <w:szCs w:val="19"/>
        </w:rPr>
      </w:pPr>
      <w:r>
        <w:rPr>
          <w:szCs w:val="19"/>
        </w:rPr>
        <w:t xml:space="preserve">M.G.M. Coenraad – Van der Zande MSc. </w:t>
      </w:r>
    </w:p>
    <w:p w14:paraId="0590AE8C" w14:textId="77777777" w:rsidR="00F96B7D" w:rsidRDefault="00F96B7D" w:rsidP="00F96B7D">
      <w:pPr>
        <w:rPr>
          <w:rFonts w:cs="Arial"/>
          <w:szCs w:val="19"/>
        </w:rPr>
      </w:pPr>
      <w:r>
        <w:rPr>
          <w:rFonts w:cs="Arial"/>
          <w:szCs w:val="19"/>
        </w:rPr>
        <w:t>Teammanager Directie Toezicht Energie</w:t>
      </w:r>
    </w:p>
    <w:p w14:paraId="5B393737" w14:textId="77777777" w:rsidR="001A69FD" w:rsidRPr="004A6718" w:rsidRDefault="001A69FD" w:rsidP="001A69FD">
      <w:pPr>
        <w:rPr>
          <w:rFonts w:cs="Arial"/>
          <w:sz w:val="18"/>
          <w:szCs w:val="18"/>
        </w:rPr>
      </w:pPr>
    </w:p>
    <w:tbl>
      <w:tblPr>
        <w:tblW w:w="9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0"/>
      </w:tblGrid>
      <w:tr w:rsidR="001A69FD" w14:paraId="7C0E59B4" w14:textId="77777777" w:rsidTr="00BC1A02">
        <w:trPr>
          <w:trHeight w:val="1454"/>
        </w:trPr>
        <w:tc>
          <w:tcPr>
            <w:tcW w:w="9390" w:type="dxa"/>
          </w:tcPr>
          <w:p w14:paraId="3D082208" w14:textId="22414747" w:rsidR="001A69FD" w:rsidRPr="00CF41CB" w:rsidRDefault="00CF41CB" w:rsidP="00CF41CB">
            <w:pPr>
              <w:ind w:left="358"/>
              <w:rPr>
                <w:rFonts w:cs="Arial"/>
                <w:bCs/>
                <w:i/>
                <w:szCs w:val="19"/>
              </w:rPr>
            </w:pPr>
            <w:bookmarkStart w:id="10" w:name="_Hlk85532341"/>
            <w:r w:rsidRPr="00F96B7D">
              <w:rPr>
                <w:rFonts w:cs="Arial"/>
                <w:bCs/>
                <w:i/>
                <w:szCs w:val="19"/>
              </w:rPr>
              <w:t>Tegen dit besluit kan degene, wiens belang rechtstreeks bij dit besluit is betrokken, binnen zes weken na de dag van bekendmaking van dit besluit een gemotiveerd bezwaarschrift indienen bij het bestuur van de Autoriteit Consument en Markt, Juridische Zaken, Postbus 16326, 2500 BH Den Haag. In dit bezwaarschrift kan een belanghebbende op basis van artikel 7:1a, eerste lid, van de Algemene wet bestuursrecht, het bestuur van de Autoriteit Consument en Markt verzoeken in te stemmen met rechtstreeks beroep bij de bestuursrechter.</w:t>
            </w:r>
          </w:p>
        </w:tc>
      </w:tr>
      <w:bookmarkEnd w:id="10"/>
    </w:tbl>
    <w:p w14:paraId="50620AF4" w14:textId="35FE6192" w:rsidR="004E621E" w:rsidRDefault="004E621E" w:rsidP="004B2F2E"/>
    <w:p w14:paraId="7AF1FA92" w14:textId="77777777" w:rsidR="004E621E" w:rsidRDefault="004E621E">
      <w:r>
        <w:br w:type="page"/>
      </w:r>
    </w:p>
    <w:p w14:paraId="3026BFC1" w14:textId="3B5CEBC7" w:rsidR="004E621E" w:rsidRPr="008A6162" w:rsidRDefault="004E621E" w:rsidP="009D5BBC">
      <w:pPr>
        <w:pStyle w:val="Kop1"/>
        <w:numPr>
          <w:ilvl w:val="0"/>
          <w:numId w:val="0"/>
        </w:numPr>
      </w:pPr>
      <w:r>
        <w:lastRenderedPageBreak/>
        <w:t xml:space="preserve">Bijlage 1 – </w:t>
      </w:r>
      <w:r w:rsidRPr="008A6162">
        <w:t>Juridisch</w:t>
      </w:r>
      <w:r>
        <w:t xml:space="preserve"> </w:t>
      </w:r>
      <w:r w:rsidRPr="008A6162">
        <w:t>Kader</w:t>
      </w:r>
    </w:p>
    <w:p w14:paraId="17C2E20A" w14:textId="61A56DBC" w:rsidR="004E621E" w:rsidRPr="009D5BBC" w:rsidRDefault="004E621E" w:rsidP="009D5BBC">
      <w:pPr>
        <w:numPr>
          <w:ilvl w:val="0"/>
          <w:numId w:val="19"/>
        </w:numPr>
        <w:spacing w:after="240" w:line="300" w:lineRule="exact"/>
        <w:rPr>
          <w:rFonts w:cs="Arial"/>
          <w:szCs w:val="19"/>
        </w:rPr>
      </w:pPr>
      <w:r w:rsidRPr="008A6162">
        <w:rPr>
          <w:rFonts w:cs="Arial"/>
          <w:szCs w:val="19"/>
        </w:rPr>
        <w:t xml:space="preserve">In dit hoofdstuk beschrijft </w:t>
      </w:r>
      <w:r>
        <w:rPr>
          <w:rFonts w:cs="Arial"/>
          <w:szCs w:val="19"/>
        </w:rPr>
        <w:t>de ACM</w:t>
      </w:r>
      <w:r w:rsidRPr="008A6162">
        <w:rPr>
          <w:rFonts w:cs="Arial"/>
          <w:szCs w:val="19"/>
        </w:rPr>
        <w:t xml:space="preserve"> het juridisch kader van dit besluit. </w:t>
      </w:r>
    </w:p>
    <w:p w14:paraId="324FB558" w14:textId="5D25B2FC" w:rsidR="004E621E" w:rsidRPr="009D5BBC" w:rsidRDefault="004E621E" w:rsidP="009D5BBC">
      <w:pPr>
        <w:numPr>
          <w:ilvl w:val="0"/>
          <w:numId w:val="19"/>
        </w:numPr>
        <w:spacing w:after="240" w:line="300" w:lineRule="exact"/>
        <w:rPr>
          <w:rFonts w:cs="Arial"/>
          <w:szCs w:val="19"/>
        </w:rPr>
      </w:pPr>
      <w:r w:rsidRPr="008A6162">
        <w:rPr>
          <w:rFonts w:cs="Arial"/>
          <w:szCs w:val="19"/>
        </w:rPr>
        <w:t>Artikel 16, eerste lid, sub o van de Elektriciteitswet 1998 luidt:</w:t>
      </w:r>
    </w:p>
    <w:p w14:paraId="36ECC184" w14:textId="77777777" w:rsidR="004E621E" w:rsidRPr="008A6162" w:rsidRDefault="004E621E" w:rsidP="004E621E">
      <w:pPr>
        <w:ind w:left="360"/>
        <w:rPr>
          <w:rFonts w:cs="Arial"/>
          <w:i/>
          <w:szCs w:val="19"/>
        </w:rPr>
      </w:pPr>
      <w:r w:rsidRPr="008A6162">
        <w:rPr>
          <w:rFonts w:cs="Arial"/>
          <w:i/>
          <w:szCs w:val="19"/>
        </w:rPr>
        <w:t>“1. De netbeheerder heeft in het kader van het beheer van de netten in het voor hem krachtens artikel 36 of 37 vastgestelde gebied tot taak:</w:t>
      </w:r>
    </w:p>
    <w:p w14:paraId="33C8C8E9" w14:textId="77777777" w:rsidR="004E621E" w:rsidRPr="0052332E" w:rsidRDefault="004E621E" w:rsidP="004E621E">
      <w:pPr>
        <w:ind w:left="360"/>
        <w:rPr>
          <w:rFonts w:cs="Arial"/>
          <w:szCs w:val="19"/>
        </w:rPr>
      </w:pPr>
      <w:r w:rsidRPr="0052332E">
        <w:rPr>
          <w:rFonts w:cs="Arial"/>
          <w:szCs w:val="19"/>
        </w:rPr>
        <w:t>(…)</w:t>
      </w:r>
    </w:p>
    <w:p w14:paraId="38D051F6" w14:textId="2C09C05D" w:rsidR="004E621E" w:rsidRPr="008A6162" w:rsidRDefault="004E621E" w:rsidP="009D5BBC">
      <w:pPr>
        <w:spacing w:after="240"/>
        <w:ind w:left="360"/>
        <w:rPr>
          <w:rFonts w:cs="Arial"/>
          <w:i/>
          <w:szCs w:val="19"/>
        </w:rPr>
      </w:pPr>
      <w:r w:rsidRPr="008A6162">
        <w:rPr>
          <w:rFonts w:cs="Arial"/>
          <w:i/>
          <w:szCs w:val="19"/>
        </w:rPr>
        <w:t>“o. zorg te dragen voor het beheer en onderhoud van de bij een afnemer als bedoeld in artikel 95a, eerste lid, geïnstalleerde meetinrichting;”</w:t>
      </w:r>
    </w:p>
    <w:p w14:paraId="30B6D8F1" w14:textId="369C7A39" w:rsidR="004E621E" w:rsidRPr="009D5BBC" w:rsidRDefault="004E621E" w:rsidP="009D5BBC">
      <w:pPr>
        <w:numPr>
          <w:ilvl w:val="0"/>
          <w:numId w:val="19"/>
        </w:numPr>
        <w:spacing w:after="240" w:line="300" w:lineRule="exact"/>
        <w:rPr>
          <w:rFonts w:cs="Arial"/>
          <w:szCs w:val="19"/>
        </w:rPr>
      </w:pPr>
      <w:r w:rsidRPr="008A6162">
        <w:rPr>
          <w:rFonts w:cs="Arial"/>
          <w:szCs w:val="19"/>
        </w:rPr>
        <w:t>Artikel 30a van de Elektriciteitswet 1998 luidt:</w:t>
      </w:r>
    </w:p>
    <w:p w14:paraId="71AD523D" w14:textId="77777777" w:rsidR="004E621E" w:rsidRPr="008A6162" w:rsidRDefault="004E621E" w:rsidP="004E621E">
      <w:pPr>
        <w:ind w:left="360"/>
        <w:rPr>
          <w:rFonts w:cs="Arial"/>
          <w:i/>
          <w:szCs w:val="19"/>
        </w:rPr>
      </w:pPr>
      <w:r w:rsidRPr="008A6162">
        <w:rPr>
          <w:rFonts w:cs="Arial"/>
          <w:i/>
          <w:szCs w:val="19"/>
        </w:rPr>
        <w:t>“Het tarief voor de meting van elektriciteit bij afnemers als bedoeld in artikel 95a, eerste lid, heeft betrekking op:</w:t>
      </w:r>
    </w:p>
    <w:p w14:paraId="2138F34F" w14:textId="77777777" w:rsidR="004E621E" w:rsidRPr="008A6162" w:rsidRDefault="004E621E" w:rsidP="004E621E">
      <w:pPr>
        <w:numPr>
          <w:ilvl w:val="0"/>
          <w:numId w:val="20"/>
        </w:numPr>
        <w:spacing w:line="300" w:lineRule="exact"/>
        <w:rPr>
          <w:rFonts w:cs="Arial"/>
          <w:i/>
          <w:szCs w:val="19"/>
        </w:rPr>
      </w:pPr>
      <w:r w:rsidRPr="008A6162">
        <w:rPr>
          <w:rFonts w:cs="Arial"/>
          <w:i/>
          <w:szCs w:val="19"/>
        </w:rPr>
        <w:t>het beheer van de meetinrichtingen;</w:t>
      </w:r>
    </w:p>
    <w:p w14:paraId="0A0F898D" w14:textId="0C23AF4B" w:rsidR="004E621E" w:rsidRPr="00793065" w:rsidRDefault="004E621E" w:rsidP="00793065">
      <w:pPr>
        <w:numPr>
          <w:ilvl w:val="0"/>
          <w:numId w:val="20"/>
        </w:numPr>
        <w:spacing w:after="240" w:line="300" w:lineRule="exact"/>
        <w:rPr>
          <w:rFonts w:cs="Arial"/>
          <w:i/>
          <w:szCs w:val="19"/>
        </w:rPr>
      </w:pPr>
      <w:r w:rsidRPr="008A6162">
        <w:rPr>
          <w:rFonts w:cs="Arial"/>
          <w:i/>
          <w:szCs w:val="19"/>
        </w:rPr>
        <w:t>het verschaffen van toegang tot meetgegevens als bedoeld in artikel 26ab, tweede en derde lid.”</w:t>
      </w:r>
    </w:p>
    <w:p w14:paraId="129A2A2F" w14:textId="3D3C2993" w:rsidR="004E621E" w:rsidRPr="00793065" w:rsidRDefault="004E621E" w:rsidP="00793065">
      <w:pPr>
        <w:numPr>
          <w:ilvl w:val="0"/>
          <w:numId w:val="19"/>
        </w:numPr>
        <w:spacing w:after="240" w:line="300" w:lineRule="exact"/>
        <w:rPr>
          <w:rFonts w:cs="Arial"/>
          <w:szCs w:val="19"/>
        </w:rPr>
      </w:pPr>
      <w:r w:rsidRPr="008A6162">
        <w:rPr>
          <w:rFonts w:cs="Arial"/>
          <w:szCs w:val="19"/>
        </w:rPr>
        <w:t>Artikel 40a van de Elektriciteitswet 1998 luidt:</w:t>
      </w:r>
    </w:p>
    <w:p w14:paraId="221EAC6E" w14:textId="78C4E860" w:rsidR="004E621E" w:rsidRPr="008A6162" w:rsidRDefault="004E621E" w:rsidP="00793065">
      <w:pPr>
        <w:spacing w:after="240"/>
        <w:ind w:left="360"/>
        <w:rPr>
          <w:rFonts w:cs="Arial"/>
          <w:i/>
          <w:szCs w:val="19"/>
        </w:rPr>
      </w:pPr>
      <w:r w:rsidRPr="008A6162">
        <w:rPr>
          <w:rFonts w:cs="Arial"/>
          <w:i/>
          <w:szCs w:val="19"/>
        </w:rPr>
        <w:t>“De tarieven voor de meting van elektriciteit bij afnemers als bedoeld in artikel 95a, eerste lid, als bedoeld in artikel 30a, worden vastgesteld door de Autoriteit Consument en Markt na overleg met de gezamenlijke netbeheerders en met representatieve organisaties van partijen op de elektriciteitsmarkt. Bij ministeriële regeling kunnen nadere regels worden gesteld met betrekking tot procedure tot vaststelling van de tarieven voor meting van elektriciteit bij afnemers als bedoeld in artikel 95a, eerste lid en de wijze van berekening van deze tarieven.”</w:t>
      </w:r>
    </w:p>
    <w:p w14:paraId="104F107F" w14:textId="1AE5B106" w:rsidR="004E621E" w:rsidRPr="00793065" w:rsidRDefault="004E621E" w:rsidP="00793065">
      <w:pPr>
        <w:numPr>
          <w:ilvl w:val="0"/>
          <w:numId w:val="19"/>
        </w:numPr>
        <w:spacing w:after="240" w:line="300" w:lineRule="exact"/>
        <w:rPr>
          <w:rFonts w:cs="Arial"/>
          <w:szCs w:val="19"/>
        </w:rPr>
      </w:pPr>
      <w:r w:rsidRPr="008A6162">
        <w:rPr>
          <w:rFonts w:cs="Arial"/>
          <w:snapToGrid w:val="0"/>
          <w:szCs w:val="19"/>
        </w:rPr>
        <w:t>Artikel 1 van de Regeling meettarieven</w:t>
      </w:r>
      <w:r w:rsidRPr="008A6162">
        <w:rPr>
          <w:rFonts w:cs="Arial"/>
          <w:szCs w:val="19"/>
        </w:rPr>
        <w:t xml:space="preserve"> luidt:</w:t>
      </w:r>
    </w:p>
    <w:p w14:paraId="489014DD" w14:textId="027B61FC" w:rsidR="004E621E" w:rsidRPr="008A6162" w:rsidRDefault="004E621E" w:rsidP="00793065">
      <w:pPr>
        <w:spacing w:after="240"/>
        <w:ind w:left="360"/>
        <w:rPr>
          <w:rFonts w:cs="Arial"/>
          <w:i/>
          <w:snapToGrid w:val="0"/>
          <w:szCs w:val="19"/>
        </w:rPr>
      </w:pPr>
      <w:r w:rsidRPr="008A6162">
        <w:rPr>
          <w:rFonts w:cs="Arial"/>
          <w:i/>
          <w:snapToGrid w:val="0"/>
          <w:szCs w:val="19"/>
        </w:rPr>
        <w:t>”1. Het tarief, bedoeld in artikel 30a van de Elektriciteitswet 1998, dat een netbeheerder in rekening brengt voor de meting van elektriciteit bij afnemers als bedoeld in artikel 95a, eerste lid, van die wet, wordt berekend op basis van het tarief zoals dat voor die afnemers gold voor het voorafgaande kalenderjaar, gecorrigeerd met inflatie.</w:t>
      </w:r>
    </w:p>
    <w:p w14:paraId="0F508221" w14:textId="47116C7A" w:rsidR="004E621E" w:rsidRPr="008A6162" w:rsidRDefault="004E621E" w:rsidP="00793065">
      <w:pPr>
        <w:spacing w:after="240"/>
        <w:ind w:left="360"/>
        <w:rPr>
          <w:rFonts w:cs="Arial"/>
          <w:i/>
          <w:snapToGrid w:val="0"/>
          <w:szCs w:val="19"/>
        </w:rPr>
      </w:pPr>
      <w:r w:rsidRPr="008A6162">
        <w:rPr>
          <w:rFonts w:cs="Arial"/>
          <w:i/>
          <w:snapToGrid w:val="0"/>
          <w:szCs w:val="19"/>
        </w:rPr>
        <w:t xml:space="preserve">2. De inflatie is de relatieve wijziging van de consumentenprijsindex (alle huishoudens), berekend uit het quotiënt van deze prijsindex, gepubliceerd in de vierde maand voorafgaand aan het kalenderjaar waarvoor het tarief geldt, en van deze prijsindex, gepubliceerd in de zestiende maand voorafgaande aan het kalenderjaar waarvoor het tarief geldt, zoals deze maandelijks wordt vastgesteld door het Centraal Bureau voor de Statistiek.” </w:t>
      </w:r>
    </w:p>
    <w:p w14:paraId="06BC414C" w14:textId="4770A25C" w:rsidR="004E621E" w:rsidRPr="00793065" w:rsidRDefault="004E621E" w:rsidP="00793065">
      <w:pPr>
        <w:numPr>
          <w:ilvl w:val="0"/>
          <w:numId w:val="19"/>
        </w:numPr>
        <w:spacing w:after="240" w:line="300" w:lineRule="exact"/>
        <w:rPr>
          <w:rFonts w:cs="Arial"/>
          <w:snapToGrid w:val="0"/>
          <w:szCs w:val="19"/>
        </w:rPr>
      </w:pPr>
      <w:r w:rsidRPr="008A6162">
        <w:rPr>
          <w:rFonts w:cs="Arial"/>
          <w:snapToGrid w:val="0"/>
          <w:szCs w:val="19"/>
        </w:rPr>
        <w:t>Artikel 5, eerste lid van de Regeling meettarieven luidt:</w:t>
      </w:r>
    </w:p>
    <w:p w14:paraId="7F21BDF9" w14:textId="77777777" w:rsidR="004E621E" w:rsidRDefault="004E621E" w:rsidP="00793065">
      <w:pPr>
        <w:spacing w:after="240" w:line="300" w:lineRule="exact"/>
        <w:ind w:firstLine="360"/>
        <w:rPr>
          <w:rFonts w:cs="Arial"/>
          <w:i/>
          <w:snapToGrid w:val="0"/>
          <w:szCs w:val="19"/>
        </w:rPr>
      </w:pPr>
      <w:r w:rsidRPr="008A6162">
        <w:rPr>
          <w:rFonts w:cs="Arial"/>
          <w:i/>
          <w:snapToGrid w:val="0"/>
          <w:szCs w:val="19"/>
        </w:rPr>
        <w:t>‘‘Artikel 1 treedt in werking met ingang v</w:t>
      </w:r>
      <w:r>
        <w:rPr>
          <w:rFonts w:cs="Arial"/>
          <w:i/>
          <w:snapToGrid w:val="0"/>
          <w:szCs w:val="19"/>
        </w:rPr>
        <w:t>an 1 januari 2011.’</w:t>
      </w:r>
    </w:p>
    <w:p w14:paraId="226FCC53" w14:textId="77777777" w:rsidR="00492DE9" w:rsidRPr="00E1395B" w:rsidRDefault="00492DE9" w:rsidP="004B2F2E"/>
    <w:sectPr w:rsidR="00492DE9" w:rsidRPr="00E1395B" w:rsidSect="0091008A">
      <w:headerReference w:type="default" r:id="rId10"/>
      <w:footerReference w:type="default" r:id="rId11"/>
      <w:footerReference w:type="first" r:id="rId12"/>
      <w:pgSz w:w="11906" w:h="16838"/>
      <w:pgMar w:top="284" w:right="1134" w:bottom="1418" w:left="1701" w:header="2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757E" w14:textId="77777777" w:rsidR="003A095D" w:rsidRDefault="003A095D">
      <w:pPr>
        <w:spacing w:line="240" w:lineRule="auto"/>
      </w:pPr>
      <w:r>
        <w:separator/>
      </w:r>
    </w:p>
  </w:endnote>
  <w:endnote w:type="continuationSeparator" w:id="0">
    <w:p w14:paraId="4BD1419E" w14:textId="77777777" w:rsidR="003A095D" w:rsidRDefault="003A0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IN Alternate">
    <w:altName w:val="Calibri"/>
    <w:panose1 w:val="00000000000000000000"/>
    <w:charset w:val="00"/>
    <w:family w:val="modern"/>
    <w:notTrueType/>
    <w:pitch w:val="variable"/>
    <w:sig w:usb0="800000AF" w:usb1="40002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D01A" w14:textId="77777777" w:rsidR="00492DE9" w:rsidRDefault="00D55393" w:rsidP="00462AD1">
    <w:pPr>
      <w:pStyle w:val="Voettekst"/>
      <w:tabs>
        <w:tab w:val="clear" w:pos="9072"/>
        <w:tab w:val="right" w:pos="8931"/>
      </w:tabs>
      <w:ind w:right="-1"/>
      <w:jc w:val="right"/>
    </w:pPr>
    <w:r>
      <w:rPr>
        <w:b/>
        <w:bCs w:val="0"/>
      </w:rPr>
      <w:fldChar w:fldCharType="begin"/>
    </w:r>
    <w:r>
      <w:rPr>
        <w:b/>
      </w:rPr>
      <w:instrText>PAGE  \* Arabic  \* MERGEFORMAT</w:instrText>
    </w:r>
    <w:r>
      <w:rPr>
        <w:b/>
        <w:bCs w:val="0"/>
      </w:rPr>
      <w:fldChar w:fldCharType="separate"/>
    </w:r>
    <w:r>
      <w:rPr>
        <w:b/>
      </w:rPr>
      <w:t>2</w:t>
    </w:r>
    <w:r>
      <w:rPr>
        <w:b/>
        <w:bCs w:val="0"/>
      </w:rPr>
      <w:fldChar w:fldCharType="end"/>
    </w:r>
    <w:r>
      <w:rPr>
        <w:b/>
        <w:bCs w:val="0"/>
      </w:rPr>
      <w:t>/</w:t>
    </w:r>
    <w:r>
      <w:rPr>
        <w:b/>
        <w:bCs w:val="0"/>
      </w:rPr>
      <w:fldChar w:fldCharType="begin"/>
    </w:r>
    <w:r>
      <w:rPr>
        <w:b/>
      </w:rPr>
      <w:instrText>NUMPAGES  \* Arabic  \* MERGEFORMAT</w:instrText>
    </w:r>
    <w:r>
      <w:rPr>
        <w:b/>
        <w:bCs w:val="0"/>
      </w:rPr>
      <w:fldChar w:fldCharType="separate"/>
    </w:r>
    <w:r>
      <w:rPr>
        <w:b/>
      </w:rPr>
      <w:t>2</w:t>
    </w:r>
    <w:r>
      <w:rPr>
        <w:b/>
        <w:b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9773" w14:textId="3965F865" w:rsidR="00492DE9" w:rsidRPr="00B03A15" w:rsidRDefault="00D55393" w:rsidP="00892A89">
    <w:pPr>
      <w:pStyle w:val="Voettekst"/>
      <w:tabs>
        <w:tab w:val="clear" w:pos="4536"/>
      </w:tabs>
      <w:ind w:left="-1134" w:right="-1"/>
    </w:pPr>
    <w:r w:rsidRPr="00DD2491">
      <w:rPr>
        <w:noProof/>
      </w:rPr>
      <w:drawing>
        <wp:inline distT="0" distB="0" distL="0" distR="0" wp14:anchorId="02EDE72B" wp14:editId="22EF13C4">
          <wp:extent cx="3351600" cy="183600"/>
          <wp:effectExtent l="0" t="0" r="1270" b="6985"/>
          <wp:docPr id="1" name="Afbeelding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3351600" cy="183600"/>
                  </a:xfrm>
                  <a:prstGeom prst="rect">
                    <a:avLst/>
                  </a:prstGeom>
                  <a:ln>
                    <a:noFill/>
                  </a:ln>
                  <a:extLst>
                    <a:ext uri="{53640926-AAD7-44D8-BBD7-CCE9431645EC}">
                      <a14:shadowObscured xmlns:a14="http://schemas.microsoft.com/office/drawing/2010/main"/>
                    </a:ext>
                  </a:extLst>
                </pic:spPr>
              </pic:pic>
            </a:graphicData>
          </a:graphic>
        </wp:inline>
      </w:drawing>
    </w:r>
    <w:r>
      <w:rPr>
        <w:b/>
      </w:rPr>
      <w:tab/>
    </w:r>
    <w:r w:rsidRPr="00523914">
      <w:rPr>
        <w:b/>
      </w:rPr>
      <w:t>ACM/UIT/</w:t>
    </w:r>
    <w:r w:rsidR="00523914" w:rsidRPr="00523914">
      <w:rPr>
        <w:b/>
      </w:rPr>
      <w:t>630381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EBA2" w14:textId="77777777" w:rsidR="003A095D" w:rsidRDefault="003A095D">
      <w:pPr>
        <w:spacing w:line="240" w:lineRule="auto"/>
      </w:pPr>
      <w:r>
        <w:separator/>
      </w:r>
    </w:p>
  </w:footnote>
  <w:footnote w:type="continuationSeparator" w:id="0">
    <w:p w14:paraId="427CFCBB" w14:textId="77777777" w:rsidR="003A095D" w:rsidRDefault="003A095D">
      <w:pPr>
        <w:spacing w:line="240" w:lineRule="auto"/>
      </w:pPr>
      <w:r>
        <w:continuationSeparator/>
      </w:r>
    </w:p>
  </w:footnote>
  <w:footnote w:id="1">
    <w:p w14:paraId="1101ABE1" w14:textId="1B4BDD73" w:rsidR="00935842" w:rsidRPr="009A7D76" w:rsidRDefault="00935842" w:rsidP="009A7D76">
      <w:pPr>
        <w:spacing w:line="240" w:lineRule="auto"/>
        <w:rPr>
          <w:bCs/>
          <w:sz w:val="16"/>
          <w:szCs w:val="16"/>
        </w:rPr>
      </w:pPr>
      <w:r w:rsidRPr="009A7D76">
        <w:rPr>
          <w:rStyle w:val="Voetnootmarkering"/>
          <w:sz w:val="16"/>
          <w:szCs w:val="16"/>
        </w:rPr>
        <w:footnoteRef/>
      </w:r>
      <w:r w:rsidRPr="009A7D76">
        <w:rPr>
          <w:sz w:val="16"/>
          <w:szCs w:val="16"/>
        </w:rPr>
        <w:t xml:space="preserve"> Regeling van de Minister van Economische Zaken, Landbouw en Innovatie van 16 november 2010, nr. WJZ/10167427,</w:t>
      </w:r>
      <w:r w:rsidR="00ED63C5" w:rsidRPr="009A7D76">
        <w:rPr>
          <w:sz w:val="16"/>
          <w:szCs w:val="16"/>
        </w:rPr>
        <w:t xml:space="preserve"> </w:t>
      </w:r>
      <w:r w:rsidRPr="009A7D76">
        <w:rPr>
          <w:sz w:val="16"/>
          <w:szCs w:val="16"/>
        </w:rPr>
        <w:t>houdende regels voor de meettarieven van netbeheerders van elektriciteits- en gasnetten (Regeling meettarieven), Stcrt. 2010 nr. 18248. Laatstelijk gewijzigd bij besluit van 4 juli 2014; Regeling van de Minister van Economische Zaken van 4 juli 2014, nr. WJZ/14066719, Stcrt. nr. 19743.</w:t>
      </w:r>
    </w:p>
  </w:footnote>
  <w:footnote w:id="2">
    <w:p w14:paraId="02F4DC46" w14:textId="057D981B" w:rsidR="0088310C" w:rsidRDefault="0088310C" w:rsidP="000D7F59">
      <w:pPr>
        <w:pStyle w:val="Voetnoottekst"/>
      </w:pPr>
      <w:r>
        <w:rPr>
          <w:rStyle w:val="Voetnootmarkering"/>
        </w:rPr>
        <w:footnoteRef/>
      </w:r>
      <w:r>
        <w:t xml:space="preserve"> Regeling van de Minister van Economische Zaken van 14 juli 2007, nr. WJZ 7085967 (Scrt. Nr. 141 van 25 juli 2007).</w:t>
      </w:r>
    </w:p>
  </w:footnote>
  <w:footnote w:id="3">
    <w:p w14:paraId="06B30F33" w14:textId="79C5E88C" w:rsidR="0088310C" w:rsidRDefault="0088310C" w:rsidP="000D7F59">
      <w:pPr>
        <w:pStyle w:val="Voetnoottekst"/>
      </w:pPr>
      <w:r>
        <w:rPr>
          <w:rStyle w:val="Voetnootmarkering"/>
        </w:rPr>
        <w:footnoteRef/>
      </w:r>
      <w:r>
        <w:t xml:space="preserve"> Regeling van de Minister van Economische Zaken van 22 oktober 2008, nr. WJZ 8157360 (Scrt. Nr. 579 van 12 november 2008).</w:t>
      </w:r>
    </w:p>
  </w:footnote>
  <w:footnote w:id="4">
    <w:p w14:paraId="1E5AB9A0" w14:textId="426BFB9D" w:rsidR="0088310C" w:rsidRDefault="0088310C" w:rsidP="0088310C">
      <w:pPr>
        <w:spacing w:line="240" w:lineRule="auto"/>
        <w:ind w:left="284" w:hanging="284"/>
        <w:rPr>
          <w:sz w:val="16"/>
          <w:szCs w:val="16"/>
        </w:rPr>
      </w:pPr>
      <w:r>
        <w:rPr>
          <w:rStyle w:val="Voetnootmarkering"/>
        </w:rPr>
        <w:footnoteRef/>
      </w:r>
      <w:r>
        <w:rPr>
          <w:sz w:val="16"/>
          <w:szCs w:val="16"/>
        </w:rPr>
        <w:t xml:space="preserve"> Regeling van de Minister van Economische Zaken van 2 september 2009, nr. WJZ 9144509 (Scrt. nr. 13534 van 11 september 2009).</w:t>
      </w:r>
    </w:p>
  </w:footnote>
  <w:footnote w:id="5">
    <w:p w14:paraId="198FEC09" w14:textId="2652C218" w:rsidR="0088310C" w:rsidRDefault="0088310C" w:rsidP="000D7F59">
      <w:pPr>
        <w:pStyle w:val="Voetnoottekst"/>
      </w:pPr>
      <w:r>
        <w:rPr>
          <w:rStyle w:val="Voetnootmarkering"/>
        </w:rPr>
        <w:footnoteRef/>
      </w:r>
      <w:r>
        <w:t xml:space="preserve"> Regeling van de Minister van Economische Zaken van 14 juli 2007, nr. WJZ 7085967 (Scrt. Nr. 141 van 25 juli 2007).</w:t>
      </w:r>
    </w:p>
  </w:footnote>
  <w:footnote w:id="6">
    <w:p w14:paraId="415ED359" w14:textId="77777777" w:rsidR="0088310C" w:rsidRPr="005B49BC" w:rsidRDefault="0088310C" w:rsidP="000D7F59">
      <w:pPr>
        <w:pStyle w:val="Voetnoottekst"/>
      </w:pPr>
      <w:r>
        <w:rPr>
          <w:rStyle w:val="Voetnootmarkering"/>
        </w:rPr>
        <w:footnoteRef/>
      </w:r>
      <w:r>
        <w:t xml:space="preserve"> </w:t>
      </w:r>
      <w:r>
        <w:rPr>
          <w:kern w:val="36"/>
        </w:rPr>
        <w:t>Regeling meettarieven</w:t>
      </w:r>
      <w:r>
        <w:t>, S</w:t>
      </w:r>
      <w:r w:rsidRPr="00C57FA1">
        <w:t>tcrt</w:t>
      </w:r>
      <w:r>
        <w:t xml:space="preserve">. </w:t>
      </w:r>
      <w:r w:rsidRPr="00C57FA1">
        <w:t>2010</w:t>
      </w:r>
      <w:r>
        <w:t xml:space="preserve"> nr. </w:t>
      </w:r>
      <w:r w:rsidRPr="00C57FA1">
        <w:t>18248</w:t>
      </w:r>
      <w:r>
        <w:t>.</w:t>
      </w:r>
    </w:p>
  </w:footnote>
  <w:footnote w:id="7">
    <w:p w14:paraId="6DDED6C2" w14:textId="77777777" w:rsidR="0088310C" w:rsidRPr="00C57FA1" w:rsidRDefault="0088310C" w:rsidP="000D7F59">
      <w:pPr>
        <w:pStyle w:val="Voetnoottekst"/>
      </w:pPr>
      <w:r>
        <w:rPr>
          <w:rStyle w:val="Voetnootmarkering"/>
        </w:rPr>
        <w:footnoteRef/>
      </w:r>
      <w:r>
        <w:t xml:space="preserve"> </w:t>
      </w:r>
      <w:r>
        <w:rPr>
          <w:kern w:val="36"/>
        </w:rPr>
        <w:t>Regeling meettarieven</w:t>
      </w:r>
      <w:r>
        <w:t>, S</w:t>
      </w:r>
      <w:r w:rsidRPr="00C57FA1">
        <w:t>tcrt</w:t>
      </w:r>
      <w:r>
        <w:t xml:space="preserve">. </w:t>
      </w:r>
      <w:r w:rsidRPr="00C57FA1">
        <w:t>2010</w:t>
      </w:r>
      <w:r>
        <w:t xml:space="preserve"> nr. </w:t>
      </w:r>
      <w:r w:rsidRPr="00C57FA1">
        <w:t>18248</w:t>
      </w:r>
      <w:r>
        <w:t>.</w:t>
      </w:r>
    </w:p>
  </w:footnote>
  <w:footnote w:id="8">
    <w:p w14:paraId="18E1B555" w14:textId="77777777" w:rsidR="0088310C" w:rsidRPr="00AC2992" w:rsidRDefault="0088310C" w:rsidP="000D7F59">
      <w:pPr>
        <w:pStyle w:val="Voetnoottekst"/>
      </w:pPr>
      <w:r>
        <w:rPr>
          <w:rStyle w:val="Voetnootmarkering"/>
        </w:rPr>
        <w:footnoteRef/>
      </w:r>
      <w:r>
        <w:t xml:space="preserve"> </w:t>
      </w:r>
      <w:r>
        <w:rPr>
          <w:kern w:val="36"/>
        </w:rPr>
        <w:t>Regeling meettarieven</w:t>
      </w:r>
      <w:r>
        <w:t>, S</w:t>
      </w:r>
      <w:r w:rsidRPr="00C57FA1">
        <w:t>tcrt</w:t>
      </w:r>
      <w:r>
        <w:t xml:space="preserve">. </w:t>
      </w:r>
      <w:r w:rsidRPr="00C57FA1">
        <w:t>2010</w:t>
      </w:r>
      <w:r>
        <w:t xml:space="preserve"> nr. </w:t>
      </w:r>
      <w:r w:rsidRPr="00C57FA1">
        <w:t>18248</w:t>
      </w:r>
      <w:r>
        <w:t>.</w:t>
      </w:r>
    </w:p>
  </w:footnote>
  <w:footnote w:id="9">
    <w:p w14:paraId="00F8D766" w14:textId="61046EA8" w:rsidR="00456251" w:rsidRPr="00083FDE" w:rsidRDefault="00456251" w:rsidP="000D7F59">
      <w:pPr>
        <w:pStyle w:val="Voetnoottekst"/>
      </w:pPr>
      <w:r w:rsidRPr="00083FDE">
        <w:rPr>
          <w:rStyle w:val="Voetnootmarkering"/>
        </w:rPr>
        <w:footnoteRef/>
      </w:r>
      <w:r w:rsidRPr="00083FDE">
        <w:t xml:space="preserve"> Besluit van de ACM van 2</w:t>
      </w:r>
      <w:r w:rsidR="007A6D2C">
        <w:t>4</w:t>
      </w:r>
      <w:r w:rsidRPr="00083FDE">
        <w:t xml:space="preserve"> november 202</w:t>
      </w:r>
      <w:r w:rsidR="007A6D2C">
        <w:t>3</w:t>
      </w:r>
      <w:r w:rsidRPr="00083FDE">
        <w:t xml:space="preserve"> met zaaknummer </w:t>
      </w:r>
      <w:r w:rsidR="003942E0" w:rsidRPr="003942E0">
        <w:t>ACM/2</w:t>
      </w:r>
      <w:r w:rsidR="00CF41CB">
        <w:t>3</w:t>
      </w:r>
      <w:r w:rsidR="003942E0" w:rsidRPr="003942E0">
        <w:t>/</w:t>
      </w:r>
      <w:r w:rsidR="00CF41CB">
        <w:t>185528</w:t>
      </w:r>
      <w:r w:rsidR="003942E0">
        <w:t xml:space="preserve"> </w:t>
      </w:r>
      <w:r w:rsidRPr="00083FDE">
        <w:t xml:space="preserve">en kenmerk </w:t>
      </w:r>
      <w:r w:rsidR="006317B9" w:rsidRPr="006317B9">
        <w:t>ACM/UIT/</w:t>
      </w:r>
      <w:r w:rsidR="00CF41CB">
        <w:t>608345</w:t>
      </w:r>
      <w:r w:rsidR="009F19AC">
        <w:t>.</w:t>
      </w:r>
    </w:p>
  </w:footnote>
  <w:footnote w:id="10">
    <w:p w14:paraId="58B486EF" w14:textId="75DCABFA" w:rsidR="00787714" w:rsidRPr="00042D19" w:rsidRDefault="00787714" w:rsidP="000D7F59">
      <w:pPr>
        <w:pStyle w:val="Voetnoottekst"/>
        <w:rPr>
          <w:szCs w:val="16"/>
        </w:rPr>
      </w:pPr>
      <w:r w:rsidRPr="002A772D">
        <w:rPr>
          <w:rStyle w:val="Voetnootmarkering"/>
        </w:rPr>
        <w:footnoteRef/>
      </w:r>
      <w:r w:rsidRPr="002A772D">
        <w:t xml:space="preserve"> </w:t>
      </w:r>
      <w:r w:rsidRPr="005D5096">
        <w:t xml:space="preserve">De </w:t>
      </w:r>
      <w:r w:rsidRPr="00042D19">
        <w:t>CPI voor augustus 202</w:t>
      </w:r>
      <w:r w:rsidR="00C210AA" w:rsidRPr="00042D19">
        <w:t>5</w:t>
      </w:r>
      <w:r w:rsidRPr="00042D19">
        <w:t xml:space="preserve"> is door het CBS vastgesteld op </w:t>
      </w:r>
      <w:r w:rsidR="00EB6EEC" w:rsidRPr="00042D19">
        <w:t>1</w:t>
      </w:r>
      <w:r w:rsidR="00C210AA" w:rsidRPr="00042D19">
        <w:t>32</w:t>
      </w:r>
      <w:r w:rsidR="00EB6EEC" w:rsidRPr="00042D19">
        <w:t>,</w:t>
      </w:r>
      <w:r w:rsidR="00C210AA" w:rsidRPr="00042D19">
        <w:t>2</w:t>
      </w:r>
      <w:r w:rsidR="00C32E7F" w:rsidRPr="00042D19">
        <w:t>4</w:t>
      </w:r>
      <w:r w:rsidRPr="00042D19">
        <w:t>, op basis van 2015=100 (bron: Centraal Bureau voor de Statistiek).</w:t>
      </w:r>
    </w:p>
  </w:footnote>
  <w:footnote w:id="11">
    <w:p w14:paraId="14941C1D" w14:textId="178F8E23" w:rsidR="00787714" w:rsidRDefault="00787714" w:rsidP="000D7F59">
      <w:pPr>
        <w:pStyle w:val="Voetnoottekst"/>
      </w:pPr>
      <w:r w:rsidRPr="00042D19">
        <w:rPr>
          <w:rStyle w:val="Voetnootmarkering"/>
        </w:rPr>
        <w:footnoteRef/>
      </w:r>
      <w:r w:rsidRPr="00042D19">
        <w:t xml:space="preserve"> </w:t>
      </w:r>
      <w:r w:rsidR="003942E0" w:rsidRPr="00042D19">
        <w:t>De CPI voor augustus 202</w:t>
      </w:r>
      <w:r w:rsidR="00C210AA" w:rsidRPr="00042D19">
        <w:t>4</w:t>
      </w:r>
      <w:r w:rsidR="003942E0" w:rsidRPr="00042D19">
        <w:t xml:space="preserve"> is door het CBS vastgesteld op 12</w:t>
      </w:r>
      <w:r w:rsidR="00C210AA" w:rsidRPr="00042D19">
        <w:t>7</w:t>
      </w:r>
      <w:r w:rsidR="003942E0" w:rsidRPr="00042D19">
        <w:t>,</w:t>
      </w:r>
      <w:r w:rsidR="00C210AA" w:rsidRPr="00042D19">
        <w:t>70</w:t>
      </w:r>
      <w:r w:rsidR="003942E0" w:rsidRPr="00042D19">
        <w:t>, op basis van 2015=100 (bron: Centraal Bureau voor de Statistiek).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919A" w14:textId="3ACF0B2C" w:rsidR="00492DE9" w:rsidRDefault="00D55393" w:rsidP="00892A89">
    <w:pPr>
      <w:pStyle w:val="Koptekst"/>
      <w:tabs>
        <w:tab w:val="clear" w:pos="4536"/>
      </w:tabs>
      <w:ind w:left="-567" w:right="-1"/>
    </w:pPr>
    <w:r w:rsidRPr="004A3008">
      <w:rPr>
        <w:b/>
        <w:sz w:val="20"/>
      </w:rPr>
      <w:t xml:space="preserve">Autoriteit Consument </w:t>
    </w:r>
    <w:r>
      <w:rPr>
        <w:b/>
        <w:sz w:val="20"/>
      </w:rPr>
      <w:t>en</w:t>
    </w:r>
    <w:r w:rsidRPr="004A3008">
      <w:rPr>
        <w:b/>
        <w:sz w:val="20"/>
      </w:rPr>
      <w:t xml:space="preserve"> Markt</w:t>
    </w:r>
    <w:r>
      <w:rPr>
        <w:b/>
        <w:sz w:val="20"/>
      </w:rPr>
      <w:tab/>
    </w:r>
  </w:p>
  <w:p w14:paraId="08368C07" w14:textId="35E8FB6A" w:rsidR="00492DE9" w:rsidRPr="00EB647E" w:rsidRDefault="00D55393" w:rsidP="00CB0D1E">
    <w:pPr>
      <w:tabs>
        <w:tab w:val="right" w:pos="8931"/>
      </w:tabs>
      <w:ind w:left="-567" w:right="-285"/>
      <w:rPr>
        <w:b/>
        <w:sz w:val="20"/>
        <w:szCs w:val="20"/>
      </w:rPr>
    </w:pPr>
    <w:proofErr w:type="spellStart"/>
    <w:r w:rsidRPr="004A3008">
      <w:rPr>
        <w:b/>
        <w:sz w:val="20"/>
        <w:szCs w:val="20"/>
      </w:rPr>
      <w:t>Zaaknr</w:t>
    </w:r>
    <w:proofErr w:type="spellEnd"/>
    <w:r w:rsidRPr="004A3008">
      <w:rPr>
        <w:b/>
        <w:sz w:val="20"/>
        <w:szCs w:val="20"/>
      </w:rPr>
      <w:t>.</w:t>
    </w:r>
    <w:r w:rsidRPr="00EB647E">
      <w:rPr>
        <w:rFonts w:ascii="Times New Roman" w:hAnsi="Times New Roman" w:cs="Times New Roman"/>
        <w:sz w:val="24"/>
        <w:szCs w:val="24"/>
      </w:rPr>
      <w:t xml:space="preserve"> </w:t>
    </w:r>
    <w:r>
      <w:rPr>
        <w:b/>
        <w:sz w:val="20"/>
        <w:szCs w:val="20"/>
      </w:rPr>
      <w:t>ACM/</w:t>
    </w:r>
    <w:r w:rsidR="00094DBE">
      <w:rPr>
        <w:b/>
        <w:sz w:val="20"/>
        <w:szCs w:val="20"/>
      </w:rPr>
      <w:t>23/187180</w:t>
    </w:r>
    <w:r w:rsidRPr="004A3008">
      <w:rPr>
        <w:b/>
        <w:sz w:val="20"/>
        <w:szCs w:val="20"/>
      </w:rPr>
      <w:t xml:space="preserve"> </w:t>
    </w:r>
    <w:r>
      <w:rPr>
        <w:b/>
        <w:sz w:val="20"/>
        <w:szCs w:val="20"/>
      </w:rPr>
      <w:t>/ Documentnr</w:t>
    </w:r>
    <w:r w:rsidRPr="007569B9">
      <w:rPr>
        <w:b/>
        <w:sz w:val="20"/>
        <w:szCs w:val="20"/>
      </w:rPr>
      <w:t xml:space="preserve">. </w:t>
    </w:r>
    <w:r>
      <w:rPr>
        <w:b/>
        <w:sz w:val="20"/>
        <w:szCs w:val="20"/>
      </w:rPr>
      <w:t>ACM/UIT/</w:t>
    </w:r>
    <w:r w:rsidR="00094DBE">
      <w:rPr>
        <w:b/>
        <w:sz w:val="20"/>
        <w:szCs w:val="20"/>
      </w:rPr>
      <w:t>630381</w:t>
    </w:r>
  </w:p>
  <w:p w14:paraId="2FA69C2B" w14:textId="77777777" w:rsidR="00492DE9" w:rsidRDefault="00492DE9" w:rsidP="00996F2C">
    <w:pPr>
      <w:pBdr>
        <w:bottom w:val="single" w:sz="6" w:space="1" w:color="auto"/>
      </w:pBdr>
      <w:tabs>
        <w:tab w:val="right" w:pos="8931"/>
      </w:tabs>
      <w:ind w:left="-567" w:right="-2"/>
      <w:rPr>
        <w:b/>
      </w:rPr>
    </w:pPr>
  </w:p>
  <w:p w14:paraId="25C1FD3B" w14:textId="77777777" w:rsidR="00492DE9" w:rsidRDefault="00492D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9205D"/>
    <w:multiLevelType w:val="multilevel"/>
    <w:tmpl w:val="44EC79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6B446A"/>
    <w:multiLevelType w:val="multilevel"/>
    <w:tmpl w:val="2E62BE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AAC5DDB"/>
    <w:multiLevelType w:val="hybridMultilevel"/>
    <w:tmpl w:val="E66087D8"/>
    <w:lvl w:ilvl="0" w:tplc="FFFFFFFF">
      <w:start w:val="1"/>
      <w:numFmt w:val="lowerLetter"/>
      <w:lvlText w:val="%1."/>
      <w:lvlJc w:val="left"/>
      <w:pPr>
        <w:tabs>
          <w:tab w:val="num" w:pos="765"/>
        </w:tabs>
        <w:ind w:left="765" w:hanging="360"/>
      </w:pPr>
      <w:rPr>
        <w:rFonts w:hint="default"/>
      </w:r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3" w15:restartNumberingAfterBreak="0">
    <w:nsid w:val="20C1440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8E3D8A"/>
    <w:multiLevelType w:val="hybridMultilevel"/>
    <w:tmpl w:val="46743020"/>
    <w:lvl w:ilvl="0" w:tplc="CF2204C8">
      <w:start w:val="1"/>
      <w:numFmt w:val="decimal"/>
      <w:lvlText w:val="%1."/>
      <w:lvlJc w:val="left"/>
      <w:pPr>
        <w:ind w:left="720" w:hanging="360"/>
      </w:pPr>
    </w:lvl>
    <w:lvl w:ilvl="1" w:tplc="C60670F0" w:tentative="1">
      <w:start w:val="1"/>
      <w:numFmt w:val="lowerLetter"/>
      <w:lvlText w:val="%2."/>
      <w:lvlJc w:val="left"/>
      <w:pPr>
        <w:ind w:left="1440" w:hanging="360"/>
      </w:pPr>
    </w:lvl>
    <w:lvl w:ilvl="2" w:tplc="3FEA82C2" w:tentative="1">
      <w:start w:val="1"/>
      <w:numFmt w:val="lowerRoman"/>
      <w:lvlText w:val="%3."/>
      <w:lvlJc w:val="right"/>
      <w:pPr>
        <w:ind w:left="2160" w:hanging="180"/>
      </w:pPr>
    </w:lvl>
    <w:lvl w:ilvl="3" w:tplc="DB165472" w:tentative="1">
      <w:start w:val="1"/>
      <w:numFmt w:val="decimal"/>
      <w:lvlText w:val="%4."/>
      <w:lvlJc w:val="left"/>
      <w:pPr>
        <w:ind w:left="2880" w:hanging="360"/>
      </w:pPr>
    </w:lvl>
    <w:lvl w:ilvl="4" w:tplc="F97492A0" w:tentative="1">
      <w:start w:val="1"/>
      <w:numFmt w:val="lowerLetter"/>
      <w:lvlText w:val="%5."/>
      <w:lvlJc w:val="left"/>
      <w:pPr>
        <w:ind w:left="3600" w:hanging="360"/>
      </w:pPr>
    </w:lvl>
    <w:lvl w:ilvl="5" w:tplc="AAF4C4EC" w:tentative="1">
      <w:start w:val="1"/>
      <w:numFmt w:val="lowerRoman"/>
      <w:lvlText w:val="%6."/>
      <w:lvlJc w:val="right"/>
      <w:pPr>
        <w:ind w:left="4320" w:hanging="180"/>
      </w:pPr>
    </w:lvl>
    <w:lvl w:ilvl="6" w:tplc="31226A40" w:tentative="1">
      <w:start w:val="1"/>
      <w:numFmt w:val="decimal"/>
      <w:lvlText w:val="%7."/>
      <w:lvlJc w:val="left"/>
      <w:pPr>
        <w:ind w:left="5040" w:hanging="360"/>
      </w:pPr>
    </w:lvl>
    <w:lvl w:ilvl="7" w:tplc="A5AE9312" w:tentative="1">
      <w:start w:val="1"/>
      <w:numFmt w:val="lowerLetter"/>
      <w:lvlText w:val="%8."/>
      <w:lvlJc w:val="left"/>
      <w:pPr>
        <w:ind w:left="5760" w:hanging="360"/>
      </w:pPr>
    </w:lvl>
    <w:lvl w:ilvl="8" w:tplc="B8947CA4" w:tentative="1">
      <w:start w:val="1"/>
      <w:numFmt w:val="lowerRoman"/>
      <w:lvlText w:val="%9."/>
      <w:lvlJc w:val="right"/>
      <w:pPr>
        <w:ind w:left="6480" w:hanging="180"/>
      </w:pPr>
    </w:lvl>
  </w:abstractNum>
  <w:abstractNum w:abstractNumId="5" w15:restartNumberingAfterBreak="0">
    <w:nsid w:val="33527CEB"/>
    <w:multiLevelType w:val="multilevel"/>
    <w:tmpl w:val="22602830"/>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33F45E36"/>
    <w:multiLevelType w:val="multilevel"/>
    <w:tmpl w:val="F17CB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6690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C7298A"/>
    <w:multiLevelType w:val="multilevel"/>
    <w:tmpl w:val="552A8D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2B799E"/>
    <w:multiLevelType w:val="multilevel"/>
    <w:tmpl w:val="C7965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op3"/>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5A11D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8F63D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210C8B"/>
    <w:multiLevelType w:val="multilevel"/>
    <w:tmpl w:val="DBE212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890AAE"/>
    <w:multiLevelType w:val="hybridMultilevel"/>
    <w:tmpl w:val="0DB2BC1E"/>
    <w:lvl w:ilvl="0" w:tplc="899A4010">
      <w:start w:val="1"/>
      <w:numFmt w:val="decimal"/>
      <w:lvlText w:val="%1."/>
      <w:lvlJc w:val="left"/>
      <w:pPr>
        <w:tabs>
          <w:tab w:val="num" w:pos="360"/>
        </w:tabs>
        <w:ind w:left="360" w:hanging="360"/>
      </w:pPr>
      <w:rPr>
        <w:rFonts w:ascii="Arial" w:hAnsi="Arial" w:cs="Arial" w:hint="default"/>
        <w:b w:val="0"/>
        <w:i w:val="0"/>
        <w:sz w:val="20"/>
        <w:szCs w:val="2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722417E9"/>
    <w:multiLevelType w:val="multilevel"/>
    <w:tmpl w:val="296C74EC"/>
    <w:lvl w:ilvl="0">
      <w:start w:val="1"/>
      <w:numFmt w:val="decimal"/>
      <w:pStyle w:val="Geenafstand"/>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9573EBD"/>
    <w:multiLevelType w:val="hybridMultilevel"/>
    <w:tmpl w:val="3E00F8DA"/>
    <w:lvl w:ilvl="0" w:tplc="7FF0B870">
      <w:start w:val="1"/>
      <w:numFmt w:val="decimal"/>
      <w:lvlText w:val="%1."/>
      <w:lvlJc w:val="left"/>
      <w:pPr>
        <w:ind w:left="720" w:hanging="360"/>
      </w:pPr>
    </w:lvl>
    <w:lvl w:ilvl="1" w:tplc="52EA3D60" w:tentative="1">
      <w:start w:val="1"/>
      <w:numFmt w:val="lowerLetter"/>
      <w:lvlText w:val="%2."/>
      <w:lvlJc w:val="left"/>
      <w:pPr>
        <w:ind w:left="1440" w:hanging="360"/>
      </w:pPr>
    </w:lvl>
    <w:lvl w:ilvl="2" w:tplc="F22E8E0C" w:tentative="1">
      <w:start w:val="1"/>
      <w:numFmt w:val="lowerRoman"/>
      <w:lvlText w:val="%3."/>
      <w:lvlJc w:val="right"/>
      <w:pPr>
        <w:ind w:left="2160" w:hanging="180"/>
      </w:pPr>
    </w:lvl>
    <w:lvl w:ilvl="3" w:tplc="0C44F688" w:tentative="1">
      <w:start w:val="1"/>
      <w:numFmt w:val="decimal"/>
      <w:lvlText w:val="%4."/>
      <w:lvlJc w:val="left"/>
      <w:pPr>
        <w:ind w:left="2880" w:hanging="360"/>
      </w:pPr>
    </w:lvl>
    <w:lvl w:ilvl="4" w:tplc="43CE9EAE" w:tentative="1">
      <w:start w:val="1"/>
      <w:numFmt w:val="lowerLetter"/>
      <w:lvlText w:val="%5."/>
      <w:lvlJc w:val="left"/>
      <w:pPr>
        <w:ind w:left="3600" w:hanging="360"/>
      </w:pPr>
    </w:lvl>
    <w:lvl w:ilvl="5" w:tplc="12C8CEAA" w:tentative="1">
      <w:start w:val="1"/>
      <w:numFmt w:val="lowerRoman"/>
      <w:lvlText w:val="%6."/>
      <w:lvlJc w:val="right"/>
      <w:pPr>
        <w:ind w:left="4320" w:hanging="180"/>
      </w:pPr>
    </w:lvl>
    <w:lvl w:ilvl="6" w:tplc="02582966" w:tentative="1">
      <w:start w:val="1"/>
      <w:numFmt w:val="decimal"/>
      <w:lvlText w:val="%7."/>
      <w:lvlJc w:val="left"/>
      <w:pPr>
        <w:ind w:left="5040" w:hanging="360"/>
      </w:pPr>
    </w:lvl>
    <w:lvl w:ilvl="7" w:tplc="B24C7E84" w:tentative="1">
      <w:start w:val="1"/>
      <w:numFmt w:val="lowerLetter"/>
      <w:lvlText w:val="%8."/>
      <w:lvlJc w:val="left"/>
      <w:pPr>
        <w:ind w:left="5760" w:hanging="360"/>
      </w:pPr>
    </w:lvl>
    <w:lvl w:ilvl="8" w:tplc="28269E7A" w:tentative="1">
      <w:start w:val="1"/>
      <w:numFmt w:val="lowerRoman"/>
      <w:lvlText w:val="%9."/>
      <w:lvlJc w:val="right"/>
      <w:pPr>
        <w:ind w:left="6480" w:hanging="180"/>
      </w:pPr>
    </w:lvl>
  </w:abstractNum>
  <w:abstractNum w:abstractNumId="16" w15:restartNumberingAfterBreak="0">
    <w:nsid w:val="7CFB736C"/>
    <w:multiLevelType w:val="multilevel"/>
    <w:tmpl w:val="4C6C3F2A"/>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3781062">
    <w:abstractNumId w:val="1"/>
  </w:num>
  <w:num w:numId="2" w16cid:durableId="602422163">
    <w:abstractNumId w:val="1"/>
  </w:num>
  <w:num w:numId="3" w16cid:durableId="98256058">
    <w:abstractNumId w:val="1"/>
  </w:num>
  <w:num w:numId="4" w16cid:durableId="1277714546">
    <w:abstractNumId w:val="1"/>
  </w:num>
  <w:num w:numId="5" w16cid:durableId="799037082">
    <w:abstractNumId w:val="5"/>
  </w:num>
  <w:num w:numId="6" w16cid:durableId="832373537">
    <w:abstractNumId w:val="1"/>
  </w:num>
  <w:num w:numId="7" w16cid:durableId="803694412">
    <w:abstractNumId w:val="1"/>
  </w:num>
  <w:num w:numId="8" w16cid:durableId="1942104361">
    <w:abstractNumId w:val="4"/>
  </w:num>
  <w:num w:numId="9" w16cid:durableId="282545397">
    <w:abstractNumId w:val="10"/>
  </w:num>
  <w:num w:numId="10" w16cid:durableId="2145393177">
    <w:abstractNumId w:val="14"/>
  </w:num>
  <w:num w:numId="11" w16cid:durableId="1853495588">
    <w:abstractNumId w:val="12"/>
  </w:num>
  <w:num w:numId="12" w16cid:durableId="312679520">
    <w:abstractNumId w:val="1"/>
  </w:num>
  <w:num w:numId="13" w16cid:durableId="517426391">
    <w:abstractNumId w:val="8"/>
  </w:num>
  <w:num w:numId="14" w16cid:durableId="165095634">
    <w:abstractNumId w:val="15"/>
  </w:num>
  <w:num w:numId="15" w16cid:durableId="1994479024">
    <w:abstractNumId w:val="7"/>
  </w:num>
  <w:num w:numId="16" w16cid:durableId="1926725583">
    <w:abstractNumId w:val="6"/>
  </w:num>
  <w:num w:numId="17" w16cid:durableId="1934968378">
    <w:abstractNumId w:val="3"/>
  </w:num>
  <w:num w:numId="18" w16cid:durableId="641808565">
    <w:abstractNumId w:val="0"/>
  </w:num>
  <w:num w:numId="19" w16cid:durableId="1029456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740952">
    <w:abstractNumId w:val="13"/>
  </w:num>
  <w:num w:numId="22" w16cid:durableId="1131290480">
    <w:abstractNumId w:val="9"/>
  </w:num>
  <w:num w:numId="23" w16cid:durableId="1666084243">
    <w:abstractNumId w:val="16"/>
  </w:num>
  <w:num w:numId="24" w16cid:durableId="869269716">
    <w:abstractNumId w:val="11"/>
  </w:num>
  <w:num w:numId="25" w16cid:durableId="1820076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9D"/>
    <w:rsid w:val="000052F7"/>
    <w:rsid w:val="00021028"/>
    <w:rsid w:val="00042D19"/>
    <w:rsid w:val="00064653"/>
    <w:rsid w:val="00083FDE"/>
    <w:rsid w:val="00094635"/>
    <w:rsid w:val="00094DBE"/>
    <w:rsid w:val="000B2E20"/>
    <w:rsid w:val="000B3B56"/>
    <w:rsid w:val="000C198A"/>
    <w:rsid w:val="000D7F59"/>
    <w:rsid w:val="000F1661"/>
    <w:rsid w:val="00102493"/>
    <w:rsid w:val="001201D0"/>
    <w:rsid w:val="00157B2E"/>
    <w:rsid w:val="00175700"/>
    <w:rsid w:val="001A69FD"/>
    <w:rsid w:val="001F4FAC"/>
    <w:rsid w:val="001F5863"/>
    <w:rsid w:val="002222D7"/>
    <w:rsid w:val="002577DB"/>
    <w:rsid w:val="00284C32"/>
    <w:rsid w:val="00296A76"/>
    <w:rsid w:val="002A772D"/>
    <w:rsid w:val="002D5B76"/>
    <w:rsid w:val="002E7C42"/>
    <w:rsid w:val="00303F84"/>
    <w:rsid w:val="00352A74"/>
    <w:rsid w:val="00365D6B"/>
    <w:rsid w:val="003942E0"/>
    <w:rsid w:val="00397A7A"/>
    <w:rsid w:val="003A095D"/>
    <w:rsid w:val="003B4E5F"/>
    <w:rsid w:val="003E0F23"/>
    <w:rsid w:val="003F207A"/>
    <w:rsid w:val="003F5C61"/>
    <w:rsid w:val="00401E87"/>
    <w:rsid w:val="00401EAC"/>
    <w:rsid w:val="00456251"/>
    <w:rsid w:val="00492DE9"/>
    <w:rsid w:val="0049575D"/>
    <w:rsid w:val="004B3A86"/>
    <w:rsid w:val="004E621E"/>
    <w:rsid w:val="004F15D9"/>
    <w:rsid w:val="00506BBB"/>
    <w:rsid w:val="005163AB"/>
    <w:rsid w:val="00516990"/>
    <w:rsid w:val="00523914"/>
    <w:rsid w:val="00597AB5"/>
    <w:rsid w:val="005B4DAE"/>
    <w:rsid w:val="005C4921"/>
    <w:rsid w:val="005D5096"/>
    <w:rsid w:val="005F5C42"/>
    <w:rsid w:val="006106E1"/>
    <w:rsid w:val="00614077"/>
    <w:rsid w:val="006317B9"/>
    <w:rsid w:val="006942CE"/>
    <w:rsid w:val="006D30E1"/>
    <w:rsid w:val="006D45EC"/>
    <w:rsid w:val="007008EC"/>
    <w:rsid w:val="00714DB2"/>
    <w:rsid w:val="00737E07"/>
    <w:rsid w:val="007650C1"/>
    <w:rsid w:val="00787714"/>
    <w:rsid w:val="00793065"/>
    <w:rsid w:val="00795613"/>
    <w:rsid w:val="00795E5A"/>
    <w:rsid w:val="007A6D2C"/>
    <w:rsid w:val="007A7019"/>
    <w:rsid w:val="007C0F9C"/>
    <w:rsid w:val="007D0BEB"/>
    <w:rsid w:val="007D3B48"/>
    <w:rsid w:val="007E2D03"/>
    <w:rsid w:val="007E737F"/>
    <w:rsid w:val="007F7079"/>
    <w:rsid w:val="00820210"/>
    <w:rsid w:val="008276D7"/>
    <w:rsid w:val="008301EC"/>
    <w:rsid w:val="00846861"/>
    <w:rsid w:val="00867CBA"/>
    <w:rsid w:val="00871256"/>
    <w:rsid w:val="00877C9D"/>
    <w:rsid w:val="008829BE"/>
    <w:rsid w:val="00882A80"/>
    <w:rsid w:val="0088310C"/>
    <w:rsid w:val="00891B19"/>
    <w:rsid w:val="008C1EDF"/>
    <w:rsid w:val="008D3A84"/>
    <w:rsid w:val="008F508D"/>
    <w:rsid w:val="0090236F"/>
    <w:rsid w:val="00935842"/>
    <w:rsid w:val="0097703C"/>
    <w:rsid w:val="009851E9"/>
    <w:rsid w:val="0098544E"/>
    <w:rsid w:val="009A06B8"/>
    <w:rsid w:val="009A0729"/>
    <w:rsid w:val="009A7142"/>
    <w:rsid w:val="009A7D76"/>
    <w:rsid w:val="009B3024"/>
    <w:rsid w:val="009D5BBC"/>
    <w:rsid w:val="009F19AC"/>
    <w:rsid w:val="00A11178"/>
    <w:rsid w:val="00A3685A"/>
    <w:rsid w:val="00A37643"/>
    <w:rsid w:val="00A54D9A"/>
    <w:rsid w:val="00A55DA0"/>
    <w:rsid w:val="00A82207"/>
    <w:rsid w:val="00A827CE"/>
    <w:rsid w:val="00A95AD8"/>
    <w:rsid w:val="00AC3E65"/>
    <w:rsid w:val="00AC7A32"/>
    <w:rsid w:val="00AD6667"/>
    <w:rsid w:val="00B465F0"/>
    <w:rsid w:val="00B5193C"/>
    <w:rsid w:val="00B63CDD"/>
    <w:rsid w:val="00B8602F"/>
    <w:rsid w:val="00B91686"/>
    <w:rsid w:val="00B92C69"/>
    <w:rsid w:val="00BB479A"/>
    <w:rsid w:val="00BC1A02"/>
    <w:rsid w:val="00BC52CF"/>
    <w:rsid w:val="00BE788F"/>
    <w:rsid w:val="00C210AA"/>
    <w:rsid w:val="00C32E7F"/>
    <w:rsid w:val="00C71D79"/>
    <w:rsid w:val="00C73D32"/>
    <w:rsid w:val="00C917FA"/>
    <w:rsid w:val="00CB3EE6"/>
    <w:rsid w:val="00CB3F9B"/>
    <w:rsid w:val="00CD1901"/>
    <w:rsid w:val="00CD6F13"/>
    <w:rsid w:val="00CF41CB"/>
    <w:rsid w:val="00D4366C"/>
    <w:rsid w:val="00D55393"/>
    <w:rsid w:val="00D573BC"/>
    <w:rsid w:val="00D9177A"/>
    <w:rsid w:val="00D962C5"/>
    <w:rsid w:val="00DA6E2B"/>
    <w:rsid w:val="00DC2210"/>
    <w:rsid w:val="00DE1996"/>
    <w:rsid w:val="00DE7382"/>
    <w:rsid w:val="00DF0C5E"/>
    <w:rsid w:val="00DF1D7D"/>
    <w:rsid w:val="00E10E33"/>
    <w:rsid w:val="00E4394D"/>
    <w:rsid w:val="00E83280"/>
    <w:rsid w:val="00E83702"/>
    <w:rsid w:val="00EA4E87"/>
    <w:rsid w:val="00EA78BB"/>
    <w:rsid w:val="00EB025E"/>
    <w:rsid w:val="00EB6EEC"/>
    <w:rsid w:val="00ED63C5"/>
    <w:rsid w:val="00EF234E"/>
    <w:rsid w:val="00F45626"/>
    <w:rsid w:val="00F45FF5"/>
    <w:rsid w:val="00F5155F"/>
    <w:rsid w:val="00F650C8"/>
    <w:rsid w:val="00F733CE"/>
    <w:rsid w:val="00F737D3"/>
    <w:rsid w:val="00F73887"/>
    <w:rsid w:val="00F80C17"/>
    <w:rsid w:val="00F92C5D"/>
    <w:rsid w:val="00F95046"/>
    <w:rsid w:val="00F96B7D"/>
    <w:rsid w:val="00FA2311"/>
    <w:rsid w:val="00FA469A"/>
    <w:rsid w:val="00FA5537"/>
    <w:rsid w:val="00FC25F5"/>
    <w:rsid w:val="00FC5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98A8B7"/>
  <w15:docId w15:val="{09252579-DDEE-4349-8BC6-1043C475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0" w:unhideWhenUsed="1" w:qFormat="1"/>
    <w:lsdException w:name="heading 7" w:semiHidden="1" w:uiPriority="9" w:unhideWhenUsed="1" w:qFormat="1"/>
    <w:lsdException w:name="heading 8" w:semiHidden="1" w:uiPriority="9"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1C1250"/>
    <w:rPr>
      <w:rFonts w:ascii="Arial" w:eastAsiaTheme="minorEastAsia" w:hAnsi="Arial" w:cstheme="minorBidi"/>
      <w:sz w:val="19"/>
      <w:szCs w:val="22"/>
      <w:lang w:eastAsia="nl-NL"/>
    </w:rPr>
  </w:style>
  <w:style w:type="paragraph" w:styleId="Kop1">
    <w:name w:val="heading 1"/>
    <w:basedOn w:val="Lijstalinea"/>
    <w:next w:val="Standaard"/>
    <w:link w:val="Kop1Char"/>
    <w:autoRedefine/>
    <w:qFormat/>
    <w:rsid w:val="00175700"/>
    <w:pPr>
      <w:numPr>
        <w:numId w:val="23"/>
      </w:numPr>
      <w:tabs>
        <w:tab w:val="left" w:pos="567"/>
      </w:tabs>
      <w:spacing w:before="240" w:after="380"/>
      <w:ind w:left="0" w:firstLine="0"/>
      <w:contextualSpacing w:val="0"/>
      <w:outlineLvl w:val="0"/>
    </w:pPr>
    <w:rPr>
      <w:b/>
      <w:bCs/>
      <w:color w:val="007FAE"/>
      <w:sz w:val="30"/>
      <w:szCs w:val="30"/>
    </w:rPr>
  </w:style>
  <w:style w:type="paragraph" w:styleId="Kop2">
    <w:name w:val="heading 2"/>
    <w:basedOn w:val="Kop1"/>
    <w:next w:val="Kop3"/>
    <w:link w:val="Kop2Char"/>
    <w:qFormat/>
    <w:rsid w:val="00EA78BB"/>
    <w:pPr>
      <w:numPr>
        <w:ilvl w:val="1"/>
      </w:numPr>
      <w:spacing w:before="360" w:after="260"/>
      <w:ind w:left="567" w:hanging="567"/>
      <w:outlineLvl w:val="1"/>
    </w:pPr>
    <w:rPr>
      <w:bCs w:val="0"/>
      <w:sz w:val="23"/>
      <w:szCs w:val="23"/>
    </w:rPr>
  </w:style>
  <w:style w:type="paragraph" w:styleId="Kop3">
    <w:name w:val="heading 3"/>
    <w:basedOn w:val="Kop2"/>
    <w:next w:val="Standaard"/>
    <w:link w:val="Kop3Char"/>
    <w:autoRedefine/>
    <w:uiPriority w:val="3"/>
    <w:qFormat/>
    <w:rsid w:val="00CB3EE6"/>
    <w:pPr>
      <w:numPr>
        <w:ilvl w:val="2"/>
        <w:numId w:val="22"/>
      </w:numPr>
      <w:tabs>
        <w:tab w:val="clear" w:pos="567"/>
        <w:tab w:val="left" w:pos="720"/>
      </w:tabs>
      <w:ind w:left="0" w:firstLine="0"/>
      <w:outlineLvl w:val="2"/>
    </w:pPr>
    <w:rPr>
      <w:bCs/>
      <w:color w:val="000000"/>
      <w:sz w:val="21"/>
    </w:rPr>
  </w:style>
  <w:style w:type="paragraph" w:styleId="Kop4">
    <w:name w:val="heading 4"/>
    <w:basedOn w:val="Standaard"/>
    <w:next w:val="Standaard"/>
    <w:link w:val="Kop4Char"/>
    <w:uiPriority w:val="4"/>
    <w:qFormat/>
    <w:rsid w:val="00A520A0"/>
    <w:pPr>
      <w:keepNext/>
      <w:numPr>
        <w:ilvl w:val="3"/>
        <w:numId w:val="10"/>
      </w:numPr>
      <w:outlineLvl w:val="3"/>
    </w:pPr>
    <w:rPr>
      <w:rFonts w:eastAsia="Times New Roman" w:cs="Times New Roman"/>
      <w:b/>
      <w:color w:val="000000"/>
      <w:szCs w:val="20"/>
    </w:rPr>
  </w:style>
  <w:style w:type="paragraph" w:styleId="Kop5">
    <w:name w:val="heading 5"/>
    <w:basedOn w:val="Standaard"/>
    <w:next w:val="Standaard"/>
    <w:link w:val="Kop5Char"/>
    <w:uiPriority w:val="5"/>
    <w:qFormat/>
    <w:rsid w:val="00A520A0"/>
    <w:pPr>
      <w:numPr>
        <w:ilvl w:val="4"/>
        <w:numId w:val="10"/>
      </w:numPr>
      <w:spacing w:before="240" w:after="60"/>
      <w:outlineLvl w:val="4"/>
    </w:pPr>
    <w:rPr>
      <w:rFonts w:eastAsia="Times New Roman" w:cs="Times New Roman"/>
      <w:i/>
      <w:color w:val="000000"/>
      <w:szCs w:val="20"/>
    </w:rPr>
  </w:style>
  <w:style w:type="paragraph" w:styleId="Kop6">
    <w:name w:val="heading 6"/>
    <w:aliases w:val="Zaaknummer/datum"/>
    <w:basedOn w:val="Standaard"/>
    <w:next w:val="Standaard"/>
    <w:link w:val="Kop6Char"/>
    <w:uiPriority w:val="10"/>
    <w:qFormat/>
    <w:rsid w:val="00A520A0"/>
    <w:pPr>
      <w:numPr>
        <w:ilvl w:val="5"/>
        <w:numId w:val="10"/>
      </w:numPr>
      <w:spacing w:before="240" w:after="60"/>
      <w:outlineLvl w:val="5"/>
    </w:pPr>
    <w:rPr>
      <w:rFonts w:eastAsia="Times New Roman" w:cs="Times New Roman"/>
      <w:b/>
      <w:color w:val="000000"/>
      <w:sz w:val="20"/>
      <w:szCs w:val="20"/>
    </w:rPr>
  </w:style>
  <w:style w:type="paragraph" w:styleId="Kop9">
    <w:name w:val="heading 9"/>
    <w:aliases w:val="Type document"/>
    <w:next w:val="Standaard"/>
    <w:link w:val="Kop9Char"/>
    <w:uiPriority w:val="7"/>
    <w:qFormat/>
    <w:rsid w:val="00D2610D"/>
    <w:pPr>
      <w:spacing w:after="240"/>
      <w:outlineLvl w:val="8"/>
    </w:pPr>
    <w:rPr>
      <w:rFonts w:ascii="Arial" w:eastAsiaTheme="minorHAnsi" w:hAnsi="Arial"/>
      <w:b/>
      <w:bCs/>
      <w:color w:val="E5007D" w:themeColor="text2"/>
      <w:sz w:val="3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700"/>
    <w:rPr>
      <w:rFonts w:ascii="Arial" w:eastAsiaTheme="minorEastAsia" w:hAnsi="Arial" w:cstheme="minorBidi"/>
      <w:b/>
      <w:bCs/>
      <w:color w:val="007FAE"/>
      <w:sz w:val="30"/>
      <w:szCs w:val="30"/>
      <w:lang w:eastAsia="nl-NL"/>
    </w:rPr>
  </w:style>
  <w:style w:type="character" w:customStyle="1" w:styleId="Kop2Char">
    <w:name w:val="Kop 2 Char"/>
    <w:basedOn w:val="Standaardalinea-lettertype"/>
    <w:link w:val="Kop2"/>
    <w:rsid w:val="00EA78BB"/>
    <w:rPr>
      <w:rFonts w:ascii="Arial" w:eastAsiaTheme="minorEastAsia" w:hAnsi="Arial" w:cstheme="minorBidi"/>
      <w:b/>
      <w:color w:val="007FAE"/>
      <w:sz w:val="23"/>
      <w:szCs w:val="23"/>
      <w:lang w:eastAsia="nl-NL"/>
    </w:rPr>
  </w:style>
  <w:style w:type="character" w:customStyle="1" w:styleId="Kop3Char">
    <w:name w:val="Kop 3 Char"/>
    <w:basedOn w:val="Standaardalinea-lettertype"/>
    <w:link w:val="Kop3"/>
    <w:uiPriority w:val="3"/>
    <w:rsid w:val="00CB3EE6"/>
    <w:rPr>
      <w:rFonts w:ascii="Arial" w:eastAsiaTheme="minorEastAsia" w:hAnsi="Arial" w:cstheme="minorBidi"/>
      <w:b/>
      <w:bCs/>
      <w:color w:val="000000"/>
      <w:sz w:val="21"/>
      <w:szCs w:val="23"/>
      <w:lang w:eastAsia="nl-NL"/>
    </w:rPr>
  </w:style>
  <w:style w:type="character" w:customStyle="1" w:styleId="Kop4Char">
    <w:name w:val="Kop 4 Char"/>
    <w:basedOn w:val="Standaardalinea-lettertype"/>
    <w:link w:val="Kop4"/>
    <w:uiPriority w:val="4"/>
    <w:rsid w:val="00A520A0"/>
    <w:rPr>
      <w:rFonts w:ascii="Arial" w:hAnsi="Arial"/>
      <w:b/>
      <w:color w:val="000000"/>
      <w:sz w:val="19"/>
      <w:lang w:eastAsia="nl-NL"/>
    </w:rPr>
  </w:style>
  <w:style w:type="character" w:customStyle="1" w:styleId="Kop5Char">
    <w:name w:val="Kop 5 Char"/>
    <w:basedOn w:val="Standaardalinea-lettertype"/>
    <w:link w:val="Kop5"/>
    <w:uiPriority w:val="5"/>
    <w:rsid w:val="00A520A0"/>
    <w:rPr>
      <w:rFonts w:ascii="Arial" w:hAnsi="Arial"/>
      <w:i/>
      <w:color w:val="000000"/>
      <w:sz w:val="19"/>
      <w:lang w:eastAsia="nl-NL"/>
    </w:rPr>
  </w:style>
  <w:style w:type="character" w:customStyle="1" w:styleId="Kop6Char">
    <w:name w:val="Kop 6 Char"/>
    <w:aliases w:val="Zaaknummer/datum Char"/>
    <w:basedOn w:val="Standaardalinea-lettertype"/>
    <w:link w:val="Kop6"/>
    <w:uiPriority w:val="10"/>
    <w:rsid w:val="00A520A0"/>
    <w:rPr>
      <w:rFonts w:ascii="Arial" w:hAnsi="Arial"/>
      <w:b/>
      <w:color w:val="000000"/>
      <w:lang w:eastAsia="nl-NL"/>
    </w:rPr>
  </w:style>
  <w:style w:type="character" w:customStyle="1" w:styleId="Kop9Char">
    <w:name w:val="Kop 9 Char"/>
    <w:aliases w:val="Type document Char"/>
    <w:basedOn w:val="Standaardalinea-lettertype"/>
    <w:link w:val="Kop9"/>
    <w:uiPriority w:val="7"/>
    <w:rsid w:val="00D2610D"/>
    <w:rPr>
      <w:rFonts w:ascii="Arial" w:eastAsiaTheme="minorHAnsi" w:hAnsi="Arial"/>
      <w:b/>
      <w:bCs/>
      <w:color w:val="E5007D" w:themeColor="text2"/>
      <w:sz w:val="34"/>
      <w:lang w:eastAsia="nl-NL"/>
    </w:rPr>
  </w:style>
  <w:style w:type="paragraph" w:styleId="Titel">
    <w:name w:val="Title"/>
    <w:basedOn w:val="Standaard"/>
    <w:next w:val="Ondertitel"/>
    <w:link w:val="TitelChar"/>
    <w:uiPriority w:val="8"/>
    <w:qFormat/>
    <w:rsid w:val="00A520A0"/>
    <w:pPr>
      <w:spacing w:after="300" w:line="240" w:lineRule="auto"/>
      <w:contextualSpacing/>
      <w:outlineLvl w:val="0"/>
    </w:pPr>
    <w:rPr>
      <w:rFonts w:eastAsiaTheme="majorEastAsia" w:cstheme="majorBidi"/>
      <w:b/>
      <w:bCs/>
      <w:color w:val="5F1F7A" w:themeColor="text1"/>
      <w:spacing w:val="5"/>
      <w:kern w:val="28"/>
      <w:sz w:val="72"/>
      <w:szCs w:val="52"/>
    </w:rPr>
  </w:style>
  <w:style w:type="character" w:customStyle="1" w:styleId="TitelChar">
    <w:name w:val="Titel Char"/>
    <w:basedOn w:val="Standaardalinea-lettertype"/>
    <w:link w:val="Titel"/>
    <w:uiPriority w:val="8"/>
    <w:rsid w:val="00A520A0"/>
    <w:rPr>
      <w:rFonts w:ascii="Arial" w:eastAsiaTheme="majorEastAsia" w:hAnsi="Arial" w:cstheme="majorBidi"/>
      <w:b/>
      <w:bCs/>
      <w:color w:val="5F1F7A" w:themeColor="text1"/>
      <w:spacing w:val="5"/>
      <w:kern w:val="28"/>
      <w:sz w:val="72"/>
      <w:szCs w:val="52"/>
      <w:lang w:eastAsia="nl-NL"/>
    </w:rPr>
  </w:style>
  <w:style w:type="paragraph" w:styleId="Ondertitel">
    <w:name w:val="Subtitle"/>
    <w:aliases w:val="Subtitel"/>
    <w:basedOn w:val="Standaard"/>
    <w:next w:val="Kop6"/>
    <w:link w:val="OndertitelChar"/>
    <w:uiPriority w:val="9"/>
    <w:qFormat/>
    <w:rsid w:val="00A520A0"/>
    <w:pPr>
      <w:numPr>
        <w:ilvl w:val="1"/>
      </w:numPr>
    </w:pPr>
    <w:rPr>
      <w:rFonts w:eastAsiaTheme="majorEastAsia" w:cstheme="majorBidi"/>
      <w:bCs/>
      <w:iCs/>
      <w:color w:val="5F1F7A" w:themeColor="accent1"/>
      <w:spacing w:val="15"/>
      <w:sz w:val="40"/>
      <w:szCs w:val="24"/>
    </w:rPr>
  </w:style>
  <w:style w:type="character" w:customStyle="1" w:styleId="OndertitelChar">
    <w:name w:val="Ondertitel Char"/>
    <w:aliases w:val="Subtitel Char"/>
    <w:basedOn w:val="Standaardalinea-lettertype"/>
    <w:link w:val="Ondertitel"/>
    <w:uiPriority w:val="9"/>
    <w:rsid w:val="00A520A0"/>
    <w:rPr>
      <w:rFonts w:ascii="Arial" w:eastAsiaTheme="majorEastAsia" w:hAnsi="Arial" w:cstheme="majorBidi"/>
      <w:bCs/>
      <w:iCs/>
      <w:color w:val="5F1F7A" w:themeColor="accent1"/>
      <w:spacing w:val="15"/>
      <w:sz w:val="40"/>
      <w:szCs w:val="24"/>
      <w:lang w:eastAsia="nl-NL"/>
    </w:rPr>
  </w:style>
  <w:style w:type="paragraph" w:styleId="Geenafstand">
    <w:name w:val="No Spacing"/>
    <w:aliases w:val="Standaard met nummering"/>
    <w:link w:val="GeenafstandChar"/>
    <w:uiPriority w:val="11"/>
    <w:qFormat/>
    <w:rsid w:val="00D2610D"/>
    <w:pPr>
      <w:numPr>
        <w:numId w:val="10"/>
      </w:numPr>
    </w:pPr>
    <w:rPr>
      <w:rFonts w:ascii="Arial" w:eastAsiaTheme="minorHAnsi" w:hAnsi="Arial"/>
      <w:sz w:val="19"/>
      <w:lang w:eastAsia="nl-NL"/>
    </w:rPr>
  </w:style>
  <w:style w:type="character" w:customStyle="1" w:styleId="GeenafstandChar">
    <w:name w:val="Geen afstand Char"/>
    <w:aliases w:val="Standaard met nummering Char"/>
    <w:basedOn w:val="Standaardalinea-lettertype"/>
    <w:link w:val="Geenafstand"/>
    <w:uiPriority w:val="11"/>
    <w:rsid w:val="00D2610D"/>
    <w:rPr>
      <w:rFonts w:ascii="Arial" w:eastAsiaTheme="minorHAnsi" w:hAnsi="Arial"/>
      <w:sz w:val="19"/>
      <w:lang w:eastAsia="nl-NL"/>
    </w:rPr>
  </w:style>
  <w:style w:type="paragraph" w:customStyle="1" w:styleId="AdresACMinKoptekst">
    <w:name w:val="AdresACM in Koptekst"/>
    <w:basedOn w:val="Standaard"/>
    <w:link w:val="AdresACMinKoptekstChar"/>
    <w:uiPriority w:val="99"/>
    <w:rsid w:val="00D2610D"/>
    <w:pPr>
      <w:spacing w:after="20"/>
    </w:pPr>
    <w:rPr>
      <w:rFonts w:eastAsiaTheme="minorHAnsi"/>
      <w:bCs/>
      <w:lang w:eastAsia="en-US"/>
    </w:rPr>
  </w:style>
  <w:style w:type="character" w:customStyle="1" w:styleId="AdresACMinKoptekstChar">
    <w:name w:val="AdresACM in Koptekst Char"/>
    <w:link w:val="AdresACMinKoptekst"/>
    <w:uiPriority w:val="99"/>
    <w:rsid w:val="00D2610D"/>
    <w:rPr>
      <w:rFonts w:ascii="Arial" w:eastAsiaTheme="minorHAnsi" w:hAnsi="Arial" w:cstheme="minorBidi"/>
      <w:bCs/>
      <w:sz w:val="19"/>
      <w:szCs w:val="22"/>
    </w:rPr>
  </w:style>
  <w:style w:type="paragraph" w:customStyle="1" w:styleId="AdresblokACMrechts">
    <w:name w:val="Adresblok ACM rechts"/>
    <w:basedOn w:val="Standaard"/>
    <w:uiPriority w:val="99"/>
    <w:rsid w:val="00D2610D"/>
    <w:pPr>
      <w:framePr w:w="2268" w:h="2268" w:hSpace="142" w:wrap="around" w:vAnchor="page" w:hAnchor="page" w:x="9158" w:y="455"/>
      <w:tabs>
        <w:tab w:val="left" w:pos="720"/>
        <w:tab w:val="left" w:pos="2552"/>
        <w:tab w:val="left" w:pos="4990"/>
        <w:tab w:val="left" w:pos="7343"/>
      </w:tabs>
      <w:spacing w:line="180" w:lineRule="exact"/>
    </w:pPr>
    <w:rPr>
      <w:rFonts w:eastAsiaTheme="minorHAnsi"/>
      <w:bCs/>
      <w:sz w:val="16"/>
      <w:lang w:eastAsia="en-US"/>
    </w:rPr>
  </w:style>
  <w:style w:type="paragraph" w:customStyle="1" w:styleId="AdresvensterACM">
    <w:name w:val="Adresvenster ACM"/>
    <w:basedOn w:val="Standaard"/>
    <w:uiPriority w:val="99"/>
    <w:rsid w:val="00D2610D"/>
    <w:pPr>
      <w:framePr w:w="6237" w:h="2268" w:hRule="exact" w:hSpace="142" w:wrap="notBeside" w:vAnchor="page" w:hAnchor="page" w:x="1362" w:y="2553" w:anchorLock="1"/>
    </w:pPr>
    <w:rPr>
      <w:rFonts w:eastAsiaTheme="minorHAnsi"/>
      <w:bCs/>
      <w:lang w:eastAsia="en-US"/>
    </w:rPr>
  </w:style>
  <w:style w:type="paragraph" w:styleId="Ballontekst">
    <w:name w:val="Balloon Text"/>
    <w:basedOn w:val="Standaard"/>
    <w:link w:val="BallontekstChar"/>
    <w:uiPriority w:val="99"/>
    <w:semiHidden/>
    <w:unhideWhenUsed/>
    <w:rsid w:val="00A520A0"/>
    <w:pPr>
      <w:spacing w:line="240" w:lineRule="auto"/>
    </w:pPr>
    <w:rPr>
      <w:rFonts w:ascii="Tahoma" w:eastAsia="Times New Roman" w:hAnsi="Tahoma" w:cs="Tahoma"/>
      <w:bCs/>
      <w:sz w:val="16"/>
      <w:szCs w:val="16"/>
    </w:rPr>
  </w:style>
  <w:style w:type="character" w:customStyle="1" w:styleId="BallontekstChar">
    <w:name w:val="Ballontekst Char"/>
    <w:basedOn w:val="Standaardalinea-lettertype"/>
    <w:link w:val="Ballontekst"/>
    <w:uiPriority w:val="99"/>
    <w:semiHidden/>
    <w:rsid w:val="00A520A0"/>
    <w:rPr>
      <w:rFonts w:ascii="Tahoma" w:hAnsi="Tahoma" w:cs="Tahoma"/>
      <w:bCs/>
      <w:sz w:val="16"/>
      <w:szCs w:val="16"/>
      <w:lang w:eastAsia="nl-NL"/>
    </w:rPr>
  </w:style>
  <w:style w:type="paragraph" w:styleId="Koptekst">
    <w:name w:val="header"/>
    <w:basedOn w:val="Standaard"/>
    <w:link w:val="KoptekstChar"/>
    <w:uiPriority w:val="99"/>
    <w:unhideWhenUsed/>
    <w:rsid w:val="00A520A0"/>
    <w:pPr>
      <w:tabs>
        <w:tab w:val="center" w:pos="4536"/>
        <w:tab w:val="right" w:pos="9072"/>
      </w:tabs>
    </w:pPr>
    <w:rPr>
      <w:rFonts w:eastAsia="Times New Roman" w:cs="Times New Roman"/>
      <w:bCs/>
      <w:szCs w:val="20"/>
    </w:rPr>
  </w:style>
  <w:style w:type="character" w:customStyle="1" w:styleId="KoptekstChar">
    <w:name w:val="Koptekst Char"/>
    <w:basedOn w:val="Standaardalinea-lettertype"/>
    <w:link w:val="Koptekst"/>
    <w:uiPriority w:val="99"/>
    <w:rsid w:val="00A520A0"/>
    <w:rPr>
      <w:rFonts w:ascii="Arial" w:hAnsi="Arial"/>
      <w:bCs/>
      <w:sz w:val="19"/>
      <w:lang w:eastAsia="nl-NL"/>
    </w:rPr>
  </w:style>
  <w:style w:type="table" w:styleId="Lichtelijst">
    <w:name w:val="Light List"/>
    <w:basedOn w:val="Standaardtabel"/>
    <w:uiPriority w:val="61"/>
    <w:rsid w:val="00A520A0"/>
    <w:rPr>
      <w:rFonts w:asciiTheme="minorHAnsi" w:eastAsiaTheme="minorEastAsia" w:hAnsiTheme="minorHAnsi" w:cstheme="minorBidi"/>
      <w:sz w:val="22"/>
      <w:szCs w:val="22"/>
      <w:lang w:eastAsia="nl-NL"/>
    </w:rPr>
    <w:tblPr>
      <w:tblStyleRowBandSize w:val="1"/>
      <w:tblStyleColBandSize w:val="1"/>
      <w:tblBorders>
        <w:top w:val="single" w:sz="8" w:space="0" w:color="5F1F7A" w:themeColor="text1"/>
        <w:left w:val="single" w:sz="8" w:space="0" w:color="5F1F7A" w:themeColor="text1"/>
        <w:bottom w:val="single" w:sz="8" w:space="0" w:color="5F1F7A" w:themeColor="text1"/>
        <w:right w:val="single" w:sz="8" w:space="0" w:color="5F1F7A" w:themeColor="text1"/>
      </w:tblBorders>
    </w:tblPr>
    <w:tblStylePr w:type="firstRow">
      <w:pPr>
        <w:spacing w:before="0" w:after="0" w:line="240" w:lineRule="auto"/>
      </w:pPr>
      <w:rPr>
        <w:b/>
        <w:bCs/>
        <w:color w:val="FFFFFF" w:themeColor="background1"/>
      </w:rPr>
      <w:tblPr/>
      <w:tcPr>
        <w:shd w:val="clear" w:color="auto" w:fill="5F1F7A" w:themeFill="text1"/>
      </w:tcPr>
    </w:tblStylePr>
    <w:tblStylePr w:type="lastRow">
      <w:pPr>
        <w:spacing w:before="0" w:after="0" w:line="240" w:lineRule="auto"/>
      </w:pPr>
      <w:rPr>
        <w:b/>
        <w:bCs/>
      </w:rPr>
      <w:tblPr/>
      <w:tcPr>
        <w:tcBorders>
          <w:top w:val="double" w:sz="6" w:space="0" w:color="5F1F7A" w:themeColor="text1"/>
          <w:left w:val="single" w:sz="8" w:space="0" w:color="5F1F7A" w:themeColor="text1"/>
          <w:bottom w:val="single" w:sz="8" w:space="0" w:color="5F1F7A" w:themeColor="text1"/>
          <w:right w:val="single" w:sz="8" w:space="0" w:color="5F1F7A" w:themeColor="text1"/>
        </w:tcBorders>
      </w:tcPr>
    </w:tblStylePr>
    <w:tblStylePr w:type="firstCol">
      <w:rPr>
        <w:b/>
        <w:bCs/>
      </w:rPr>
    </w:tblStylePr>
    <w:tblStylePr w:type="lastCol">
      <w:rPr>
        <w:b/>
        <w:bCs/>
      </w:rPr>
    </w:tblStylePr>
    <w:tblStylePr w:type="band1Vert">
      <w:tblPr/>
      <w:tcPr>
        <w:tcBorders>
          <w:top w:val="single" w:sz="8" w:space="0" w:color="5F1F7A" w:themeColor="text1"/>
          <w:left w:val="single" w:sz="8" w:space="0" w:color="5F1F7A" w:themeColor="text1"/>
          <w:bottom w:val="single" w:sz="8" w:space="0" w:color="5F1F7A" w:themeColor="text1"/>
          <w:right w:val="single" w:sz="8" w:space="0" w:color="5F1F7A" w:themeColor="text1"/>
        </w:tcBorders>
      </w:tcPr>
    </w:tblStylePr>
    <w:tblStylePr w:type="band1Horz">
      <w:tblPr/>
      <w:tcPr>
        <w:tcBorders>
          <w:top w:val="single" w:sz="8" w:space="0" w:color="5F1F7A" w:themeColor="text1"/>
          <w:left w:val="single" w:sz="8" w:space="0" w:color="5F1F7A" w:themeColor="text1"/>
          <w:bottom w:val="single" w:sz="8" w:space="0" w:color="5F1F7A" w:themeColor="text1"/>
          <w:right w:val="single" w:sz="8" w:space="0" w:color="5F1F7A" w:themeColor="text1"/>
        </w:tcBorders>
      </w:tcPr>
    </w:tblStylePr>
  </w:style>
  <w:style w:type="paragraph" w:customStyle="1" w:styleId="TitelkopACM">
    <w:name w:val="Titelkop ACM"/>
    <w:basedOn w:val="Standaard"/>
    <w:uiPriority w:val="99"/>
    <w:rsid w:val="00D2610D"/>
    <w:pPr>
      <w:spacing w:after="120"/>
    </w:pPr>
    <w:rPr>
      <w:rFonts w:eastAsiaTheme="minorHAnsi"/>
      <w:b/>
      <w:bCs/>
      <w:sz w:val="28"/>
      <w:lang w:eastAsia="en-US"/>
    </w:rPr>
  </w:style>
  <w:style w:type="paragraph" w:styleId="Voettekst">
    <w:name w:val="footer"/>
    <w:basedOn w:val="Standaard"/>
    <w:link w:val="VoettekstChar"/>
    <w:uiPriority w:val="99"/>
    <w:unhideWhenUsed/>
    <w:rsid w:val="00A520A0"/>
    <w:pPr>
      <w:tabs>
        <w:tab w:val="center" w:pos="4536"/>
        <w:tab w:val="right" w:pos="9072"/>
      </w:tabs>
    </w:pPr>
    <w:rPr>
      <w:rFonts w:eastAsia="Times New Roman" w:cs="Times New Roman"/>
      <w:bCs/>
      <w:szCs w:val="20"/>
    </w:rPr>
  </w:style>
  <w:style w:type="character" w:customStyle="1" w:styleId="VoettekstChar">
    <w:name w:val="Voettekst Char"/>
    <w:basedOn w:val="Standaardalinea-lettertype"/>
    <w:link w:val="Voettekst"/>
    <w:uiPriority w:val="99"/>
    <w:rsid w:val="00A520A0"/>
    <w:rPr>
      <w:rFonts w:ascii="Arial" w:hAnsi="Arial"/>
      <w:bCs/>
      <w:sz w:val="19"/>
      <w:lang w:eastAsia="nl-NL"/>
    </w:rPr>
  </w:style>
  <w:style w:type="character" w:styleId="Hyperlink">
    <w:name w:val="Hyperlink"/>
    <w:basedOn w:val="Standaardalinea-lettertype"/>
    <w:uiPriority w:val="99"/>
    <w:unhideWhenUsed/>
    <w:rsid w:val="00906235"/>
    <w:rPr>
      <w:color w:val="007FAE" w:themeColor="hyperlink"/>
      <w:u w:val="single"/>
    </w:rPr>
  </w:style>
  <w:style w:type="character" w:styleId="GevolgdeHyperlink">
    <w:name w:val="FollowedHyperlink"/>
    <w:basedOn w:val="Standaardalinea-lettertype"/>
    <w:uiPriority w:val="99"/>
    <w:semiHidden/>
    <w:unhideWhenUsed/>
    <w:rsid w:val="00233D32"/>
    <w:rPr>
      <w:color w:val="5F1F7A" w:themeColor="followedHyperlink"/>
      <w:u w:val="single"/>
    </w:rPr>
  </w:style>
  <w:style w:type="paragraph" w:styleId="Inhopg1">
    <w:name w:val="toc 1"/>
    <w:basedOn w:val="Standaard"/>
    <w:next w:val="Standaard"/>
    <w:autoRedefine/>
    <w:uiPriority w:val="39"/>
    <w:qFormat/>
    <w:rsid w:val="00D2610D"/>
    <w:pPr>
      <w:tabs>
        <w:tab w:val="left" w:pos="567"/>
        <w:tab w:val="right" w:pos="8789"/>
      </w:tabs>
    </w:pPr>
    <w:rPr>
      <w:rFonts w:eastAsiaTheme="minorHAnsi"/>
      <w:b/>
      <w:color w:val="007FAE"/>
      <w:sz w:val="23"/>
      <w:lang w:eastAsia="en-US"/>
    </w:rPr>
  </w:style>
  <w:style w:type="paragraph" w:styleId="Inhopg2">
    <w:name w:val="toc 2"/>
    <w:basedOn w:val="Standaard"/>
    <w:next w:val="Standaard"/>
    <w:autoRedefine/>
    <w:uiPriority w:val="39"/>
    <w:qFormat/>
    <w:rsid w:val="00D2610D"/>
    <w:pPr>
      <w:tabs>
        <w:tab w:val="left" w:pos="567"/>
        <w:tab w:val="right" w:pos="8789"/>
      </w:tabs>
    </w:pPr>
    <w:rPr>
      <w:rFonts w:eastAsiaTheme="minorHAnsi"/>
      <w:lang w:eastAsia="en-US"/>
    </w:rPr>
  </w:style>
  <w:style w:type="paragraph" w:styleId="Inhopg3">
    <w:name w:val="toc 3"/>
    <w:basedOn w:val="Standaard"/>
    <w:next w:val="Standaard"/>
    <w:autoRedefine/>
    <w:uiPriority w:val="39"/>
    <w:qFormat/>
    <w:rsid w:val="00D2610D"/>
    <w:pPr>
      <w:tabs>
        <w:tab w:val="left" w:pos="567"/>
        <w:tab w:val="right" w:pos="8789"/>
      </w:tabs>
    </w:pPr>
    <w:rPr>
      <w:rFonts w:eastAsiaTheme="minorHAnsi"/>
      <w:lang w:eastAsia="en-US"/>
    </w:rPr>
  </w:style>
  <w:style w:type="paragraph" w:styleId="Lijstalinea">
    <w:name w:val="List Paragraph"/>
    <w:basedOn w:val="Standaard"/>
    <w:link w:val="LijstalineaChar"/>
    <w:uiPriority w:val="34"/>
    <w:qFormat/>
    <w:rsid w:val="00D2610D"/>
    <w:pPr>
      <w:ind w:left="720"/>
      <w:contextualSpacing/>
    </w:pPr>
  </w:style>
  <w:style w:type="paragraph" w:styleId="Voetnoottekst">
    <w:name w:val="footnote text"/>
    <w:aliases w:val="DTE-Voetnoottekst2,DTE-Voetnoottekst,ALTS FOOTNOTE"/>
    <w:basedOn w:val="Standaard"/>
    <w:link w:val="VoetnoottekstChar"/>
    <w:autoRedefine/>
    <w:unhideWhenUsed/>
    <w:rsid w:val="000D7F59"/>
    <w:pPr>
      <w:spacing w:line="240" w:lineRule="auto"/>
      <w:ind w:left="284" w:hanging="284"/>
    </w:pPr>
    <w:rPr>
      <w:sz w:val="16"/>
      <w:szCs w:val="20"/>
    </w:rPr>
  </w:style>
  <w:style w:type="character" w:customStyle="1" w:styleId="VoetnoottekstChar">
    <w:name w:val="Voetnoottekst Char"/>
    <w:aliases w:val="DTE-Voetnoottekst2 Char,DTE-Voetnoottekst Char,ALTS FOOTNOTE Char"/>
    <w:basedOn w:val="Standaardalinea-lettertype"/>
    <w:link w:val="Voetnoottekst"/>
    <w:rsid w:val="000D7F59"/>
    <w:rPr>
      <w:rFonts w:ascii="Arial" w:eastAsiaTheme="minorEastAsia" w:hAnsi="Arial" w:cstheme="minorBidi"/>
      <w:sz w:val="16"/>
      <w:lang w:eastAsia="nl-NL"/>
    </w:rPr>
  </w:style>
  <w:style w:type="table" w:styleId="Tabelraster">
    <w:name w:val="Table Grid"/>
    <w:basedOn w:val="Standaardtabel"/>
    <w:uiPriority w:val="39"/>
    <w:rsid w:val="00DC57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935842"/>
    <w:rPr>
      <w:rFonts w:ascii="Arial" w:eastAsiaTheme="minorEastAsia" w:hAnsi="Arial" w:cstheme="minorBidi"/>
      <w:sz w:val="19"/>
      <w:szCs w:val="22"/>
      <w:lang w:eastAsia="nl-NL"/>
    </w:rPr>
  </w:style>
  <w:style w:type="character" w:styleId="Voetnootmarkering">
    <w:name w:val="footnote reference"/>
    <w:basedOn w:val="Standaardalinea-lettertype"/>
    <w:semiHidden/>
    <w:rsid w:val="00935842"/>
    <w:rPr>
      <w:rFonts w:ascii="Arial" w:hAnsi="Arial"/>
      <w:vertAlign w:val="superscript"/>
    </w:rPr>
  </w:style>
  <w:style w:type="character" w:styleId="Verwijzingopmerking">
    <w:name w:val="annotation reference"/>
    <w:basedOn w:val="Standaardalinea-lettertype"/>
    <w:uiPriority w:val="99"/>
    <w:semiHidden/>
    <w:unhideWhenUsed/>
    <w:rsid w:val="007E2D03"/>
    <w:rPr>
      <w:sz w:val="16"/>
      <w:szCs w:val="16"/>
    </w:rPr>
  </w:style>
  <w:style w:type="paragraph" w:styleId="Tekstopmerking">
    <w:name w:val="annotation text"/>
    <w:basedOn w:val="Standaard"/>
    <w:link w:val="TekstopmerkingChar"/>
    <w:uiPriority w:val="99"/>
    <w:unhideWhenUsed/>
    <w:rsid w:val="007E2D03"/>
    <w:pPr>
      <w:spacing w:line="240" w:lineRule="auto"/>
    </w:pPr>
    <w:rPr>
      <w:sz w:val="20"/>
      <w:szCs w:val="20"/>
    </w:rPr>
  </w:style>
  <w:style w:type="character" w:customStyle="1" w:styleId="TekstopmerkingChar">
    <w:name w:val="Tekst opmerking Char"/>
    <w:basedOn w:val="Standaardalinea-lettertype"/>
    <w:link w:val="Tekstopmerking"/>
    <w:uiPriority w:val="99"/>
    <w:rsid w:val="007E2D03"/>
    <w:rPr>
      <w:rFonts w:ascii="Arial" w:eastAsiaTheme="minorEastAsia" w:hAnsi="Arial" w:cstheme="minorBidi"/>
      <w:lang w:eastAsia="nl-NL"/>
    </w:rPr>
  </w:style>
  <w:style w:type="paragraph" w:styleId="Onderwerpvanopmerking">
    <w:name w:val="annotation subject"/>
    <w:basedOn w:val="Tekstopmerking"/>
    <w:next w:val="Tekstopmerking"/>
    <w:link w:val="OnderwerpvanopmerkingChar"/>
    <w:uiPriority w:val="99"/>
    <w:semiHidden/>
    <w:unhideWhenUsed/>
    <w:rsid w:val="007E2D03"/>
    <w:rPr>
      <w:b/>
      <w:bCs/>
    </w:rPr>
  </w:style>
  <w:style w:type="character" w:customStyle="1" w:styleId="OnderwerpvanopmerkingChar">
    <w:name w:val="Onderwerp van opmerking Char"/>
    <w:basedOn w:val="TekstopmerkingChar"/>
    <w:link w:val="Onderwerpvanopmerking"/>
    <w:uiPriority w:val="99"/>
    <w:semiHidden/>
    <w:rsid w:val="007E2D03"/>
    <w:rPr>
      <w:rFonts w:ascii="Arial" w:eastAsiaTheme="minorEastAsia" w:hAnsi="Arial" w:cstheme="minorBidi"/>
      <w:b/>
      <w:bCs/>
      <w:lang w:eastAsia="nl-NL"/>
    </w:rPr>
  </w:style>
  <w:style w:type="paragraph" w:customStyle="1" w:styleId="Default">
    <w:name w:val="Default"/>
    <w:rsid w:val="007F7079"/>
    <w:pPr>
      <w:autoSpaceDE w:val="0"/>
      <w:autoSpaceDN w:val="0"/>
      <w:adjustRightInd w:val="0"/>
      <w:spacing w:line="240" w:lineRule="auto"/>
    </w:pPr>
    <w:rPr>
      <w:rFonts w:ascii="Arial" w:hAnsi="Arial" w:cs="Arial"/>
      <w:color w:val="000000"/>
      <w:sz w:val="24"/>
      <w:szCs w:val="24"/>
    </w:rPr>
  </w:style>
  <w:style w:type="paragraph" w:styleId="Revisie">
    <w:name w:val="Revision"/>
    <w:hidden/>
    <w:uiPriority w:val="99"/>
    <w:semiHidden/>
    <w:rsid w:val="00CD1901"/>
    <w:pPr>
      <w:spacing w:line="240" w:lineRule="auto"/>
    </w:pPr>
    <w:rPr>
      <w:rFonts w:ascii="Arial" w:eastAsiaTheme="minorEastAsia" w:hAnsi="Arial" w:cstheme="minorBidi"/>
      <w:sz w:val="19"/>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m.n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CM Thema Word - test">
  <a:themeElements>
    <a:clrScheme name="ACM Themakleuren Word">
      <a:dk1>
        <a:srgbClr val="5F1F7A"/>
      </a:dk1>
      <a:lt1>
        <a:sysClr val="window" lastClr="FFFFFF"/>
      </a:lt1>
      <a:dk2>
        <a:srgbClr val="E5007D"/>
      </a:dk2>
      <a:lt2>
        <a:srgbClr val="F2F2F2"/>
      </a:lt2>
      <a:accent1>
        <a:srgbClr val="5F1F7A"/>
      </a:accent1>
      <a:accent2>
        <a:srgbClr val="E5007D"/>
      </a:accent2>
      <a:accent3>
        <a:srgbClr val="B2ADC9"/>
      </a:accent3>
      <a:accent4>
        <a:srgbClr val="007FAE"/>
      </a:accent4>
      <a:accent5>
        <a:srgbClr val="FCC800"/>
      </a:accent5>
      <a:accent6>
        <a:srgbClr val="A81A79"/>
      </a:accent6>
      <a:hlink>
        <a:srgbClr val="007FAE"/>
      </a:hlink>
      <a:folHlink>
        <a:srgbClr val="5F1F7A"/>
      </a:folHlink>
    </a:clrScheme>
    <a:fontScheme name="ACM Themafonts Word">
      <a:majorFont>
        <a:latin typeface="DIN Alternate"/>
        <a:ea typeface=""/>
        <a:cs typeface=""/>
      </a:majorFont>
      <a:minorFont>
        <a:latin typeface="Arial"/>
        <a:ea typeface=""/>
        <a:cs typeface=""/>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3B3A-A020-474F-85F9-2B31D9E3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1809</Words>
  <Characters>10042</Characters>
  <Application>Microsoft Office Word</Application>
  <DocSecurity>0</DocSecurity>
  <Lines>189</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Autoriteit Consument en Markt (ACM)</dc:creator>
  <cp:lastModifiedBy>Swart, Esther de</cp:lastModifiedBy>
  <cp:revision>4</cp:revision>
  <cp:lastPrinted>2024-11-22T09:40:00Z</cp:lastPrinted>
  <dcterms:created xsi:type="dcterms:W3CDTF">2024-11-19T16:26:00Z</dcterms:created>
  <dcterms:modified xsi:type="dcterms:W3CDTF">2024-11-22T09:41:00Z</dcterms:modified>
</cp:coreProperties>
</file>